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A99E6E" w14:textId="77777777" w:rsidR="007C7221" w:rsidRPr="00360D5C" w:rsidRDefault="007C7221" w:rsidP="007C7221">
      <w:pPr>
        <w:pStyle w:val="Default"/>
        <w:jc w:val="center"/>
        <w:rPr>
          <w:rFonts w:ascii="Calibri Light" w:hAnsi="Calibri Light"/>
          <w:b/>
          <w:sz w:val="32"/>
          <w:szCs w:val="32"/>
        </w:rPr>
      </w:pPr>
      <w:r w:rsidRPr="00360D5C">
        <w:rPr>
          <w:rFonts w:ascii="Calibri Light" w:hAnsi="Calibri Light"/>
          <w:b/>
          <w:sz w:val="32"/>
          <w:szCs w:val="32"/>
        </w:rPr>
        <w:t>Summary of Relevant Clinical Literature</w:t>
      </w:r>
    </w:p>
    <w:p w14:paraId="5A2FC8B0" w14:textId="77777777" w:rsidR="007C7221" w:rsidRPr="00360D5C" w:rsidRDefault="007C7221" w:rsidP="007C7221">
      <w:pPr>
        <w:pStyle w:val="Default"/>
        <w:rPr>
          <w:rFonts w:ascii="Calibri Light" w:hAnsi="Calibri Light"/>
          <w:sz w:val="23"/>
          <w:szCs w:val="23"/>
        </w:rPr>
      </w:pPr>
    </w:p>
    <w:p w14:paraId="7632E2E6" w14:textId="77777777" w:rsidR="00643EEB" w:rsidRPr="00360D5C" w:rsidRDefault="00643EEB" w:rsidP="00643EEB">
      <w:pPr>
        <w:pStyle w:val="Default"/>
        <w:rPr>
          <w:rFonts w:ascii="Calibri Light" w:hAnsi="Calibri Light"/>
          <w:b/>
          <w:bCs/>
          <w:sz w:val="28"/>
          <w:szCs w:val="28"/>
        </w:rPr>
      </w:pPr>
      <w:proofErr w:type="spellStart"/>
      <w:r w:rsidRPr="00360D5C">
        <w:rPr>
          <w:rFonts w:ascii="Calibri Light" w:hAnsi="Calibri Light"/>
          <w:b/>
          <w:bCs/>
          <w:sz w:val="28"/>
          <w:szCs w:val="28"/>
        </w:rPr>
        <w:t>SpaceOAR</w:t>
      </w:r>
      <w:proofErr w:type="spellEnd"/>
      <w:r w:rsidRPr="00360D5C">
        <w:rPr>
          <w:rFonts w:ascii="Calibri Light" w:hAnsi="Calibri Light"/>
          <w:b/>
          <w:bCs/>
          <w:sz w:val="28"/>
          <w:szCs w:val="28"/>
        </w:rPr>
        <w:t xml:space="preserve"> System Studies</w:t>
      </w:r>
    </w:p>
    <w:p w14:paraId="19377F07" w14:textId="77777777" w:rsidR="00955350" w:rsidRPr="00360D5C" w:rsidRDefault="00955350" w:rsidP="007C7221">
      <w:pPr>
        <w:pStyle w:val="Default"/>
        <w:rPr>
          <w:rFonts w:ascii="Calibri Light" w:hAnsi="Calibri Light"/>
          <w:sz w:val="23"/>
          <w:szCs w:val="23"/>
        </w:rPr>
      </w:pPr>
    </w:p>
    <w:p w14:paraId="7E5633FA" w14:textId="3F21C6F4" w:rsidR="0095588C" w:rsidRPr="00105B31" w:rsidRDefault="0095588C" w:rsidP="0095588C">
      <w:pPr>
        <w:pStyle w:val="Default"/>
        <w:rPr>
          <w:rFonts w:ascii="Calibri Light" w:hAnsi="Calibri Light"/>
          <w:bCs/>
          <w:sz w:val="23"/>
          <w:szCs w:val="23"/>
        </w:rPr>
      </w:pPr>
      <w:proofErr w:type="spellStart"/>
      <w:r w:rsidRPr="00105B31">
        <w:rPr>
          <w:rFonts w:ascii="Calibri Light" w:hAnsi="Calibri Light"/>
          <w:b/>
          <w:bCs/>
          <w:sz w:val="23"/>
          <w:szCs w:val="23"/>
        </w:rPr>
        <w:t>Hamstra</w:t>
      </w:r>
      <w:proofErr w:type="spellEnd"/>
      <w:r w:rsidRPr="00105B31">
        <w:rPr>
          <w:rFonts w:ascii="Calibri Light" w:hAnsi="Calibri Light"/>
          <w:b/>
          <w:bCs/>
          <w:sz w:val="23"/>
          <w:szCs w:val="23"/>
        </w:rPr>
        <w:t xml:space="preserve"> DA et al. </w:t>
      </w:r>
      <w:r w:rsidRPr="00105B31">
        <w:rPr>
          <w:rFonts w:ascii="Calibri Light" w:hAnsi="Calibri Light"/>
          <w:b/>
          <w:bCs/>
          <w:i/>
          <w:sz w:val="23"/>
          <w:szCs w:val="23"/>
        </w:rPr>
        <w:t>Continued Benefit to Rectal Separation for Prostate RT: Final Results of a phase III trial</w:t>
      </w:r>
      <w:r w:rsidRPr="00105B31">
        <w:rPr>
          <w:rFonts w:ascii="Calibri Light" w:hAnsi="Calibri Light"/>
          <w:bCs/>
          <w:sz w:val="23"/>
          <w:szCs w:val="23"/>
        </w:rPr>
        <w:t xml:space="preserve"> </w:t>
      </w:r>
      <w:proofErr w:type="spellStart"/>
      <w:r w:rsidR="00323939" w:rsidRPr="00323939">
        <w:rPr>
          <w:rFonts w:ascii="Calibri Light" w:hAnsi="Calibri Light"/>
          <w:sz w:val="23"/>
          <w:szCs w:val="23"/>
        </w:rPr>
        <w:t>Int</w:t>
      </w:r>
      <w:proofErr w:type="spellEnd"/>
      <w:r w:rsidR="00323939" w:rsidRPr="00323939">
        <w:rPr>
          <w:rFonts w:ascii="Calibri Light" w:hAnsi="Calibri Light"/>
          <w:sz w:val="23"/>
          <w:szCs w:val="23"/>
        </w:rPr>
        <w:t xml:space="preserve"> J </w:t>
      </w:r>
      <w:proofErr w:type="spellStart"/>
      <w:r w:rsidR="00323939" w:rsidRPr="00323939">
        <w:rPr>
          <w:rFonts w:ascii="Calibri Light" w:hAnsi="Calibri Light"/>
          <w:sz w:val="23"/>
          <w:szCs w:val="23"/>
        </w:rPr>
        <w:t>Radiat</w:t>
      </w:r>
      <w:proofErr w:type="spellEnd"/>
      <w:r w:rsidR="00323939" w:rsidRPr="00323939">
        <w:rPr>
          <w:rFonts w:ascii="Calibri Light" w:hAnsi="Calibri Light"/>
          <w:sz w:val="23"/>
          <w:szCs w:val="23"/>
        </w:rPr>
        <w:t xml:space="preserve"> </w:t>
      </w:r>
      <w:proofErr w:type="spellStart"/>
      <w:r w:rsidR="00323939" w:rsidRPr="00323939">
        <w:rPr>
          <w:rFonts w:ascii="Calibri Light" w:hAnsi="Calibri Light"/>
          <w:sz w:val="23"/>
          <w:szCs w:val="23"/>
        </w:rPr>
        <w:t>Oncol</w:t>
      </w:r>
      <w:proofErr w:type="spellEnd"/>
      <w:r w:rsidR="00323939" w:rsidRPr="00323939">
        <w:rPr>
          <w:rFonts w:ascii="Calibri Light" w:hAnsi="Calibri Light"/>
          <w:sz w:val="23"/>
          <w:szCs w:val="23"/>
        </w:rPr>
        <w:t xml:space="preserve"> </w:t>
      </w:r>
      <w:proofErr w:type="spellStart"/>
      <w:r w:rsidR="00323939" w:rsidRPr="00323939">
        <w:rPr>
          <w:rFonts w:ascii="Calibri Light" w:hAnsi="Calibri Light"/>
          <w:sz w:val="23"/>
          <w:szCs w:val="23"/>
        </w:rPr>
        <w:t>Biol</w:t>
      </w:r>
      <w:proofErr w:type="spellEnd"/>
      <w:r w:rsidR="00323939" w:rsidRPr="00323939">
        <w:rPr>
          <w:rFonts w:ascii="Calibri Light" w:hAnsi="Calibri Light"/>
          <w:sz w:val="23"/>
          <w:szCs w:val="23"/>
        </w:rPr>
        <w:t xml:space="preserve"> Phys. 2017 Apr 1;97(5):976-985. </w:t>
      </w:r>
      <w:proofErr w:type="spellStart"/>
      <w:r w:rsidR="00323939" w:rsidRPr="00323939">
        <w:rPr>
          <w:rFonts w:ascii="Calibri Light" w:hAnsi="Calibri Light"/>
          <w:sz w:val="23"/>
          <w:szCs w:val="23"/>
        </w:rPr>
        <w:t>doi</w:t>
      </w:r>
      <w:proofErr w:type="spellEnd"/>
      <w:r w:rsidR="00323939" w:rsidRPr="00323939">
        <w:rPr>
          <w:rFonts w:ascii="Calibri Light" w:hAnsi="Calibri Light"/>
          <w:sz w:val="23"/>
          <w:szCs w:val="23"/>
        </w:rPr>
        <w:t xml:space="preserve">: 10.1016/j.ijrobp.2016.12.024. </w:t>
      </w:r>
      <w:proofErr w:type="spellStart"/>
      <w:r w:rsidR="00323939" w:rsidRPr="00323939">
        <w:rPr>
          <w:rFonts w:ascii="Calibri Light" w:hAnsi="Calibri Light"/>
          <w:sz w:val="23"/>
          <w:szCs w:val="23"/>
        </w:rPr>
        <w:t>Epub</w:t>
      </w:r>
      <w:proofErr w:type="spellEnd"/>
      <w:r w:rsidR="00323939" w:rsidRPr="00323939">
        <w:rPr>
          <w:rFonts w:ascii="Calibri Light" w:hAnsi="Calibri Light"/>
          <w:sz w:val="23"/>
          <w:szCs w:val="23"/>
        </w:rPr>
        <w:t xml:space="preserve"> 2016 Dec 23.</w:t>
      </w:r>
      <w:bookmarkStart w:id="0" w:name="_GoBack"/>
      <w:bookmarkEnd w:id="0"/>
    </w:p>
    <w:p w14:paraId="4C1504D7" w14:textId="6D0D2A34" w:rsidR="0095588C" w:rsidRPr="00105B31" w:rsidRDefault="0095588C" w:rsidP="00105B31">
      <w:pPr>
        <w:pStyle w:val="Default"/>
        <w:numPr>
          <w:ilvl w:val="0"/>
          <w:numId w:val="2"/>
        </w:numPr>
        <w:rPr>
          <w:rFonts w:ascii="Calibri Light" w:hAnsi="Calibri Light"/>
          <w:bCs/>
          <w:sz w:val="23"/>
          <w:szCs w:val="23"/>
        </w:rPr>
      </w:pPr>
      <w:r w:rsidRPr="00105B31">
        <w:rPr>
          <w:rFonts w:ascii="Calibri Light" w:hAnsi="Calibri Light"/>
          <w:bCs/>
          <w:sz w:val="23"/>
          <w:szCs w:val="23"/>
        </w:rPr>
        <w:t xml:space="preserve">Late (&gt;90 days) CTCAE toxicity was evaluated for the subjects from the </w:t>
      </w:r>
      <w:proofErr w:type="spellStart"/>
      <w:r w:rsidRPr="00105B31">
        <w:rPr>
          <w:rFonts w:ascii="Calibri Light" w:hAnsi="Calibri Light"/>
          <w:bCs/>
          <w:sz w:val="23"/>
          <w:szCs w:val="23"/>
        </w:rPr>
        <w:t>SpaceOAR</w:t>
      </w:r>
      <w:proofErr w:type="spellEnd"/>
      <w:r w:rsidRPr="00105B31">
        <w:rPr>
          <w:rFonts w:ascii="Calibri Light" w:hAnsi="Calibri Light"/>
          <w:bCs/>
          <w:sz w:val="23"/>
          <w:szCs w:val="23"/>
        </w:rPr>
        <w:t xml:space="preserve"> pivotal study (</w:t>
      </w:r>
      <w:proofErr w:type="spellStart"/>
      <w:r w:rsidRPr="00105B31">
        <w:rPr>
          <w:rFonts w:ascii="Calibri Light" w:hAnsi="Calibri Light"/>
          <w:bCs/>
          <w:sz w:val="23"/>
          <w:szCs w:val="23"/>
        </w:rPr>
        <w:t>Mariados</w:t>
      </w:r>
      <w:proofErr w:type="spellEnd"/>
      <w:r w:rsidRPr="00105B31">
        <w:rPr>
          <w:rFonts w:ascii="Calibri Light" w:hAnsi="Calibri Light"/>
          <w:bCs/>
          <w:sz w:val="23"/>
          <w:szCs w:val="23"/>
        </w:rPr>
        <w:t xml:space="preserve"> et al). Mean changes from baseline in EPIC domains were also tested.</w:t>
      </w:r>
    </w:p>
    <w:p w14:paraId="5D67923B" w14:textId="045AD258" w:rsidR="0095588C" w:rsidRPr="00105B31" w:rsidRDefault="0095588C" w:rsidP="00105B31">
      <w:pPr>
        <w:pStyle w:val="Default"/>
        <w:numPr>
          <w:ilvl w:val="0"/>
          <w:numId w:val="2"/>
        </w:numPr>
        <w:rPr>
          <w:rFonts w:ascii="Calibri Light" w:hAnsi="Calibri Light"/>
          <w:bCs/>
          <w:sz w:val="23"/>
          <w:szCs w:val="23"/>
        </w:rPr>
      </w:pPr>
      <w:r w:rsidRPr="00105B31">
        <w:rPr>
          <w:rFonts w:ascii="Calibri Light" w:hAnsi="Calibri Light"/>
          <w:bCs/>
          <w:sz w:val="23"/>
          <w:szCs w:val="23"/>
        </w:rPr>
        <w:t xml:space="preserve">The 3-year incidence of grade 1+ (9.2% vs 2.0%; p=0.28) and grade 2+ (5.7% vs 0%; p=.012) rectal toxicity favored the spacer arm. </w:t>
      </w:r>
    </w:p>
    <w:p w14:paraId="6961D160" w14:textId="2B443A69" w:rsidR="0095588C" w:rsidRPr="00105B31" w:rsidRDefault="0095588C" w:rsidP="00105B31">
      <w:pPr>
        <w:pStyle w:val="Default"/>
        <w:numPr>
          <w:ilvl w:val="0"/>
          <w:numId w:val="2"/>
        </w:numPr>
        <w:rPr>
          <w:rFonts w:ascii="Calibri Light" w:hAnsi="Calibri Light"/>
          <w:bCs/>
          <w:sz w:val="23"/>
          <w:szCs w:val="23"/>
        </w:rPr>
      </w:pPr>
      <w:r w:rsidRPr="00105B31">
        <w:rPr>
          <w:rFonts w:ascii="Calibri Light" w:hAnsi="Calibri Light"/>
          <w:bCs/>
          <w:sz w:val="23"/>
          <w:szCs w:val="23"/>
        </w:rPr>
        <w:t>Grade 1+ urinary incontinence was also lower in the spacer arm (15% vs 4%; p=.046).</w:t>
      </w:r>
    </w:p>
    <w:p w14:paraId="68AA37F3" w14:textId="738189B6" w:rsidR="0095588C" w:rsidRPr="00105B31" w:rsidRDefault="0095588C" w:rsidP="00105B31">
      <w:pPr>
        <w:pStyle w:val="Default"/>
        <w:numPr>
          <w:ilvl w:val="0"/>
          <w:numId w:val="2"/>
        </w:numPr>
        <w:rPr>
          <w:rFonts w:ascii="Calibri Light" w:hAnsi="Calibri Light"/>
          <w:bCs/>
          <w:sz w:val="23"/>
          <w:szCs w:val="23"/>
        </w:rPr>
      </w:pPr>
      <w:r w:rsidRPr="00105B31">
        <w:rPr>
          <w:rFonts w:ascii="Calibri Light" w:hAnsi="Calibri Light"/>
          <w:bCs/>
          <w:sz w:val="23"/>
          <w:szCs w:val="23"/>
        </w:rPr>
        <w:t xml:space="preserve">From 6 months onward, bowel QOL consistently favored the spacer group (p=.002), with the difference at 3 years (5.8 points; p&lt;.05) meeting the threshold for an MID. </w:t>
      </w:r>
    </w:p>
    <w:p w14:paraId="65314A94" w14:textId="4B8CF477" w:rsidR="0095588C" w:rsidRPr="00105B31" w:rsidRDefault="0095588C" w:rsidP="00105B31">
      <w:pPr>
        <w:pStyle w:val="Default"/>
        <w:numPr>
          <w:ilvl w:val="0"/>
          <w:numId w:val="2"/>
        </w:numPr>
        <w:rPr>
          <w:rFonts w:ascii="Calibri Light" w:hAnsi="Calibri Light"/>
          <w:bCs/>
          <w:sz w:val="23"/>
          <w:szCs w:val="23"/>
        </w:rPr>
      </w:pPr>
      <w:r w:rsidRPr="00105B31">
        <w:rPr>
          <w:rFonts w:ascii="Calibri Light" w:hAnsi="Calibri Light"/>
          <w:bCs/>
          <w:sz w:val="23"/>
          <w:szCs w:val="23"/>
        </w:rPr>
        <w:t>At 3 years, more men in the control group than in the spacer group had experienced a MID decline in bowel QOL (41% vs 14%; p=.002) and urinary QOL (30% vs 17%; p=.04). The control group was also more likely to have experienced large declines (twice the MID) in bowel QOL (21% vs 5%; p=.02) and urinary QOL (23% vs 8%; p=.02).</w:t>
      </w:r>
    </w:p>
    <w:p w14:paraId="224068E9" w14:textId="167F9B52" w:rsidR="004109D2" w:rsidRPr="00105B31" w:rsidRDefault="004109D2" w:rsidP="0095588C">
      <w:pPr>
        <w:pStyle w:val="Default"/>
        <w:rPr>
          <w:rFonts w:ascii="Calibri Light" w:hAnsi="Calibri Light"/>
          <w:bCs/>
          <w:sz w:val="23"/>
          <w:szCs w:val="23"/>
        </w:rPr>
      </w:pPr>
    </w:p>
    <w:p w14:paraId="38765CF9" w14:textId="77777777" w:rsidR="0003149B" w:rsidRPr="00105B31" w:rsidRDefault="0003149B" w:rsidP="0095588C">
      <w:pPr>
        <w:pStyle w:val="Default"/>
        <w:rPr>
          <w:rFonts w:ascii="Calibri Light" w:hAnsi="Calibri Light"/>
          <w:bCs/>
          <w:sz w:val="23"/>
          <w:szCs w:val="23"/>
        </w:rPr>
      </w:pPr>
    </w:p>
    <w:p w14:paraId="0110F18F" w14:textId="77777777" w:rsidR="00643EEB" w:rsidRPr="00105B31" w:rsidRDefault="00643EEB" w:rsidP="00643EEB">
      <w:pPr>
        <w:pStyle w:val="Default"/>
        <w:jc w:val="both"/>
        <w:rPr>
          <w:rFonts w:ascii="Calibri Light" w:hAnsi="Calibri Light"/>
          <w:b/>
          <w:bCs/>
          <w:i/>
          <w:sz w:val="23"/>
          <w:szCs w:val="23"/>
        </w:rPr>
      </w:pPr>
      <w:proofErr w:type="spellStart"/>
      <w:r w:rsidRPr="00105B31">
        <w:rPr>
          <w:rFonts w:ascii="Calibri Light" w:hAnsi="Calibri Light"/>
          <w:b/>
          <w:bCs/>
          <w:sz w:val="23"/>
          <w:szCs w:val="23"/>
        </w:rPr>
        <w:t>Mariados</w:t>
      </w:r>
      <w:proofErr w:type="spellEnd"/>
      <w:r w:rsidRPr="00105B31">
        <w:rPr>
          <w:rFonts w:ascii="Calibri Light" w:hAnsi="Calibri Light"/>
          <w:b/>
          <w:bCs/>
          <w:sz w:val="23"/>
          <w:szCs w:val="23"/>
        </w:rPr>
        <w:t xml:space="preserve"> et al. </w:t>
      </w:r>
      <w:r w:rsidRPr="00105B31">
        <w:rPr>
          <w:rFonts w:ascii="Calibri Light" w:hAnsi="Calibri Light"/>
          <w:b/>
          <w:bCs/>
          <w:i/>
          <w:sz w:val="23"/>
          <w:szCs w:val="23"/>
        </w:rPr>
        <w:t xml:space="preserve">Hydrogel Spacer Prospective Multicenter Randomized Controlled Pivotal Trial: </w:t>
      </w:r>
      <w:proofErr w:type="spellStart"/>
      <w:r w:rsidRPr="00105B31">
        <w:rPr>
          <w:rFonts w:ascii="Calibri Light" w:hAnsi="Calibri Light"/>
          <w:b/>
          <w:bCs/>
          <w:i/>
          <w:sz w:val="23"/>
          <w:szCs w:val="23"/>
        </w:rPr>
        <w:t>Dosimetric</w:t>
      </w:r>
      <w:proofErr w:type="spellEnd"/>
      <w:r w:rsidRPr="00105B31">
        <w:rPr>
          <w:rFonts w:ascii="Calibri Light" w:hAnsi="Calibri Light"/>
          <w:b/>
          <w:bCs/>
          <w:i/>
          <w:sz w:val="23"/>
          <w:szCs w:val="23"/>
        </w:rPr>
        <w:t xml:space="preserve"> and Clinical Effects of Perirectal Spacer Application in Men Undergoing Prostate IG-IMRT. </w:t>
      </w:r>
      <w:r w:rsidRPr="00105B31">
        <w:rPr>
          <w:rFonts w:ascii="Calibri Light" w:hAnsi="Calibri Light"/>
          <w:bCs/>
          <w:sz w:val="23"/>
          <w:szCs w:val="23"/>
        </w:rPr>
        <w:t>[</w:t>
      </w:r>
      <w:proofErr w:type="spellStart"/>
      <w:r w:rsidRPr="00105B31">
        <w:rPr>
          <w:rFonts w:ascii="Calibri Light" w:hAnsi="Calibri Light"/>
          <w:bCs/>
          <w:sz w:val="23"/>
          <w:szCs w:val="23"/>
        </w:rPr>
        <w:t>Int</w:t>
      </w:r>
      <w:proofErr w:type="spellEnd"/>
      <w:r w:rsidRPr="00105B31">
        <w:rPr>
          <w:rFonts w:ascii="Calibri Light" w:hAnsi="Calibri Light"/>
          <w:bCs/>
          <w:sz w:val="23"/>
          <w:szCs w:val="23"/>
        </w:rPr>
        <w:t xml:space="preserve"> J </w:t>
      </w:r>
      <w:proofErr w:type="spellStart"/>
      <w:r w:rsidRPr="00105B31">
        <w:rPr>
          <w:rFonts w:ascii="Calibri Light" w:hAnsi="Calibri Light"/>
          <w:bCs/>
          <w:sz w:val="23"/>
          <w:szCs w:val="23"/>
        </w:rPr>
        <w:t>Radiat</w:t>
      </w:r>
      <w:proofErr w:type="spellEnd"/>
      <w:r w:rsidRPr="00105B31">
        <w:rPr>
          <w:rFonts w:ascii="Calibri Light" w:hAnsi="Calibri Light"/>
          <w:bCs/>
          <w:sz w:val="23"/>
          <w:szCs w:val="23"/>
        </w:rPr>
        <w:t xml:space="preserve"> </w:t>
      </w:r>
      <w:proofErr w:type="spellStart"/>
      <w:r w:rsidRPr="00105B31">
        <w:rPr>
          <w:rFonts w:ascii="Calibri Light" w:hAnsi="Calibri Light"/>
          <w:bCs/>
          <w:sz w:val="23"/>
          <w:szCs w:val="23"/>
        </w:rPr>
        <w:t>Oncol</w:t>
      </w:r>
      <w:proofErr w:type="spellEnd"/>
      <w:r w:rsidRPr="00105B31">
        <w:rPr>
          <w:rFonts w:ascii="Calibri Light" w:hAnsi="Calibri Light"/>
          <w:bCs/>
          <w:sz w:val="23"/>
          <w:szCs w:val="23"/>
        </w:rPr>
        <w:t xml:space="preserve"> </w:t>
      </w:r>
      <w:proofErr w:type="spellStart"/>
      <w:r w:rsidRPr="00105B31">
        <w:rPr>
          <w:rFonts w:ascii="Calibri Light" w:hAnsi="Calibri Light"/>
          <w:bCs/>
          <w:sz w:val="23"/>
          <w:szCs w:val="23"/>
        </w:rPr>
        <w:t>Biol</w:t>
      </w:r>
      <w:proofErr w:type="spellEnd"/>
      <w:r w:rsidRPr="00105B31">
        <w:rPr>
          <w:rFonts w:ascii="Calibri Light" w:hAnsi="Calibri Light"/>
          <w:bCs/>
          <w:sz w:val="23"/>
          <w:szCs w:val="23"/>
        </w:rPr>
        <w:t xml:space="preserve"> Phys. 2015 Aug 1;92(5):971-777. (222)] </w:t>
      </w:r>
    </w:p>
    <w:p w14:paraId="020FAF67" w14:textId="77777777" w:rsidR="00643EEB" w:rsidRPr="00105B31" w:rsidRDefault="00643EEB" w:rsidP="00643EEB">
      <w:pPr>
        <w:pStyle w:val="Default"/>
        <w:jc w:val="both"/>
        <w:rPr>
          <w:rFonts w:ascii="Calibri Light" w:hAnsi="Calibri Light"/>
          <w:bCs/>
          <w:i/>
          <w:sz w:val="23"/>
          <w:szCs w:val="23"/>
        </w:rPr>
      </w:pPr>
      <w:r w:rsidRPr="00105B31">
        <w:rPr>
          <w:rFonts w:ascii="Calibri Light" w:hAnsi="Calibri Light"/>
          <w:bCs/>
          <w:sz w:val="23"/>
          <w:szCs w:val="23"/>
        </w:rPr>
        <w:t xml:space="preserve">T1-T2 patients at 20 US institutions, prospective, multicenter, randomized, single-blind controlled pivotal trial. Patients randomized 2:1 </w:t>
      </w:r>
      <w:proofErr w:type="spellStart"/>
      <w:r w:rsidRPr="00105B31">
        <w:rPr>
          <w:rFonts w:ascii="Calibri Light" w:hAnsi="Calibri Light"/>
          <w:bCs/>
          <w:sz w:val="23"/>
          <w:szCs w:val="23"/>
        </w:rPr>
        <w:t>SpaceOAR</w:t>
      </w:r>
      <w:proofErr w:type="spellEnd"/>
      <w:r w:rsidRPr="00105B31">
        <w:rPr>
          <w:rFonts w:ascii="Calibri Light" w:hAnsi="Calibri Light"/>
          <w:bCs/>
          <w:sz w:val="23"/>
          <w:szCs w:val="23"/>
        </w:rPr>
        <w:t>: Control</w:t>
      </w:r>
    </w:p>
    <w:p w14:paraId="2EC8BB97" w14:textId="5D1F6691" w:rsidR="00643EEB" w:rsidRPr="00105B31" w:rsidRDefault="00643EEB" w:rsidP="00105B31">
      <w:pPr>
        <w:pStyle w:val="Default"/>
        <w:numPr>
          <w:ilvl w:val="0"/>
          <w:numId w:val="2"/>
        </w:numPr>
        <w:jc w:val="both"/>
        <w:rPr>
          <w:rFonts w:ascii="Calibri Light" w:hAnsi="Calibri Light"/>
          <w:sz w:val="23"/>
          <w:szCs w:val="23"/>
        </w:rPr>
      </w:pPr>
      <w:r w:rsidRPr="00105B31">
        <w:rPr>
          <w:rFonts w:ascii="Calibri Light" w:hAnsi="Calibri Light"/>
          <w:sz w:val="23"/>
          <w:szCs w:val="23"/>
        </w:rPr>
        <w:t>Patients underwent baseline scans, received fiducial markers and were randomized to Spacer or Control groups (patients blinded to treatment). During RT all AE’s were gathered, followed for 15 months for toxicity and quality of life.</w:t>
      </w:r>
    </w:p>
    <w:p w14:paraId="65D16588" w14:textId="18AEB014" w:rsidR="00643EEB" w:rsidRPr="00105B31" w:rsidRDefault="00643EEB" w:rsidP="00105B31">
      <w:pPr>
        <w:pStyle w:val="Default"/>
        <w:numPr>
          <w:ilvl w:val="0"/>
          <w:numId w:val="2"/>
        </w:numPr>
        <w:jc w:val="both"/>
        <w:rPr>
          <w:rFonts w:ascii="Calibri Light" w:hAnsi="Calibri Light"/>
          <w:sz w:val="23"/>
          <w:szCs w:val="23"/>
        </w:rPr>
      </w:pPr>
      <w:r w:rsidRPr="00105B31">
        <w:rPr>
          <w:rFonts w:ascii="Calibri Light" w:hAnsi="Calibri Light"/>
          <w:sz w:val="23"/>
          <w:szCs w:val="23"/>
        </w:rPr>
        <w:t>Perirectal space was 12.6+3.9mm and 1.6+2.0mm in the Spacer and Control groups, respectively.</w:t>
      </w:r>
    </w:p>
    <w:p w14:paraId="2D310383" w14:textId="00A5BC39" w:rsidR="00643EEB" w:rsidRPr="00105B31" w:rsidRDefault="00643EEB" w:rsidP="00105B31">
      <w:pPr>
        <w:pStyle w:val="Default"/>
        <w:numPr>
          <w:ilvl w:val="0"/>
          <w:numId w:val="2"/>
        </w:numPr>
        <w:jc w:val="both"/>
        <w:rPr>
          <w:rFonts w:ascii="Calibri Light" w:hAnsi="Calibri Light"/>
          <w:sz w:val="23"/>
          <w:szCs w:val="23"/>
        </w:rPr>
      </w:pPr>
      <w:r w:rsidRPr="00105B31">
        <w:rPr>
          <w:rFonts w:ascii="Calibri Light" w:hAnsi="Calibri Light"/>
          <w:sz w:val="23"/>
          <w:szCs w:val="23"/>
        </w:rPr>
        <w:t>Spacer technical success rate was 99% (hydrogel present between prostate and the rectum)</w:t>
      </w:r>
    </w:p>
    <w:p w14:paraId="4C60865D" w14:textId="713278B9" w:rsidR="00643EEB" w:rsidRPr="00105B31" w:rsidRDefault="00643EEB" w:rsidP="00105B31">
      <w:pPr>
        <w:pStyle w:val="Default"/>
        <w:numPr>
          <w:ilvl w:val="0"/>
          <w:numId w:val="2"/>
        </w:numPr>
        <w:jc w:val="both"/>
        <w:rPr>
          <w:rFonts w:ascii="Calibri Light" w:hAnsi="Calibri Light"/>
          <w:sz w:val="23"/>
          <w:szCs w:val="23"/>
        </w:rPr>
      </w:pPr>
      <w:r w:rsidRPr="00105B31">
        <w:rPr>
          <w:rFonts w:ascii="Calibri Light" w:hAnsi="Calibri Light"/>
          <w:sz w:val="23"/>
          <w:szCs w:val="23"/>
        </w:rPr>
        <w:t>Pre to post-spacer plans had a 73.5% significant reduction in mean rectal V70 (12.4% to 3.3%, p&lt;0.0001).</w:t>
      </w:r>
    </w:p>
    <w:p w14:paraId="2E0F8C75" w14:textId="384E3CE2" w:rsidR="00643EEB" w:rsidRPr="00105B31" w:rsidRDefault="00643EEB" w:rsidP="00105B31">
      <w:pPr>
        <w:pStyle w:val="Default"/>
        <w:numPr>
          <w:ilvl w:val="0"/>
          <w:numId w:val="2"/>
        </w:numPr>
        <w:jc w:val="both"/>
        <w:rPr>
          <w:rFonts w:ascii="Calibri Light" w:hAnsi="Calibri Light"/>
          <w:sz w:val="23"/>
          <w:szCs w:val="23"/>
        </w:rPr>
      </w:pPr>
      <w:r w:rsidRPr="00105B31">
        <w:rPr>
          <w:rFonts w:ascii="Calibri Light" w:hAnsi="Calibri Light"/>
          <w:sz w:val="23"/>
          <w:szCs w:val="23"/>
        </w:rPr>
        <w:t>Patients reporting acute rectal pain were 2.7% and 11.1% (p=0.02) in the Spacer and Control groups, respectively.</w:t>
      </w:r>
    </w:p>
    <w:p w14:paraId="258C22D9" w14:textId="2C8269DE" w:rsidR="00643EEB" w:rsidRPr="00105B31" w:rsidRDefault="00643EEB" w:rsidP="00105B31">
      <w:pPr>
        <w:pStyle w:val="Default"/>
        <w:numPr>
          <w:ilvl w:val="0"/>
          <w:numId w:val="2"/>
        </w:numPr>
        <w:jc w:val="both"/>
        <w:rPr>
          <w:rFonts w:ascii="Calibri Light" w:hAnsi="Calibri Light"/>
          <w:sz w:val="23"/>
          <w:szCs w:val="23"/>
        </w:rPr>
      </w:pPr>
      <w:r w:rsidRPr="00105B31">
        <w:rPr>
          <w:rFonts w:ascii="Calibri Light" w:hAnsi="Calibri Light"/>
          <w:sz w:val="23"/>
          <w:szCs w:val="23"/>
        </w:rPr>
        <w:t>No difference in Spacer or Control GU toxicity, acute or late.</w:t>
      </w:r>
    </w:p>
    <w:p w14:paraId="0C21971B" w14:textId="2224333B" w:rsidR="00643EEB" w:rsidRPr="00105B31" w:rsidRDefault="00643EEB" w:rsidP="00105B31">
      <w:pPr>
        <w:pStyle w:val="Default"/>
        <w:numPr>
          <w:ilvl w:val="0"/>
          <w:numId w:val="2"/>
        </w:numPr>
        <w:jc w:val="both"/>
        <w:rPr>
          <w:rFonts w:ascii="Calibri Light" w:hAnsi="Calibri Light"/>
          <w:sz w:val="23"/>
          <w:szCs w:val="23"/>
        </w:rPr>
      </w:pPr>
      <w:r w:rsidRPr="00105B31">
        <w:rPr>
          <w:rFonts w:ascii="Calibri Light" w:hAnsi="Calibri Light"/>
          <w:sz w:val="23"/>
          <w:szCs w:val="23"/>
        </w:rPr>
        <w:t>Late rectal toxicity was 2.0% (all Grade 1) and 7.0% (up to Grade3) in the Spacer and Control groups, respectively, with a statistically significant reduction in the severity of late rectal toxicity (p=0.04).</w:t>
      </w:r>
    </w:p>
    <w:p w14:paraId="7FAEAA17" w14:textId="61CE2025" w:rsidR="00643EEB" w:rsidRPr="00105B31" w:rsidRDefault="00643EEB" w:rsidP="00105B31">
      <w:pPr>
        <w:pStyle w:val="Default"/>
        <w:numPr>
          <w:ilvl w:val="0"/>
          <w:numId w:val="2"/>
        </w:numPr>
        <w:jc w:val="both"/>
        <w:rPr>
          <w:rFonts w:ascii="Calibri Light" w:hAnsi="Calibri Light"/>
          <w:sz w:val="23"/>
          <w:szCs w:val="23"/>
        </w:rPr>
      </w:pPr>
      <w:r w:rsidRPr="00105B31">
        <w:rPr>
          <w:rFonts w:ascii="Calibri Light" w:hAnsi="Calibri Light"/>
          <w:sz w:val="23"/>
          <w:szCs w:val="23"/>
        </w:rPr>
        <w:t>At 15 months 11.6% and 21.4% of Spacer and Control patients experienced 10-point declines in bowel QOL, respectively.</w:t>
      </w:r>
    </w:p>
    <w:p w14:paraId="4398CD17" w14:textId="247D1A0C" w:rsidR="003327A3" w:rsidRDefault="00643EEB" w:rsidP="003327A3">
      <w:pPr>
        <w:pStyle w:val="Default"/>
        <w:numPr>
          <w:ilvl w:val="0"/>
          <w:numId w:val="2"/>
        </w:numPr>
        <w:jc w:val="both"/>
        <w:rPr>
          <w:rFonts w:ascii="Calibri Light" w:hAnsi="Calibri Light"/>
          <w:sz w:val="23"/>
          <w:szCs w:val="23"/>
        </w:rPr>
      </w:pPr>
      <w:r w:rsidRPr="00105B31">
        <w:rPr>
          <w:rFonts w:ascii="Calibri Light" w:hAnsi="Calibri Light"/>
          <w:sz w:val="23"/>
          <w:szCs w:val="23"/>
        </w:rPr>
        <w:t>Safety: No spacer related adverse events, no delays to onset of IMRT, no spacer infections, no rectal wall ulcerations</w:t>
      </w:r>
    </w:p>
    <w:p w14:paraId="164B6F21" w14:textId="057017EE" w:rsidR="00FC0449" w:rsidRDefault="00FC0449" w:rsidP="003327A3">
      <w:pPr>
        <w:pStyle w:val="Default"/>
        <w:ind w:left="360"/>
        <w:jc w:val="right"/>
        <w:rPr>
          <w:rFonts w:ascii="Calibri Light" w:hAnsi="Calibri Light"/>
          <w:sz w:val="23"/>
          <w:szCs w:val="23"/>
        </w:rPr>
        <w:sectPr w:rsidR="00FC0449" w:rsidSect="00DC1011">
          <w:headerReference w:type="default" r:id="rId8"/>
          <w:footerReference w:type="even" r:id="rId9"/>
          <w:footerReference w:type="default" r:id="rId10"/>
          <w:headerReference w:type="first" r:id="rId11"/>
          <w:footerReference w:type="first" r:id="rId12"/>
          <w:pgSz w:w="12240" w:h="15840" w:code="1"/>
          <w:pgMar w:top="2250" w:right="900" w:bottom="1710" w:left="900" w:header="360" w:footer="1260" w:gutter="0"/>
          <w:cols w:space="720"/>
          <w:titlePg/>
          <w:docGrid w:linePitch="360"/>
        </w:sectPr>
      </w:pPr>
    </w:p>
    <w:p w14:paraId="4C0603B4" w14:textId="2F292E02" w:rsidR="00D802BC" w:rsidRPr="00105B31" w:rsidRDefault="00D802BC" w:rsidP="00D802BC">
      <w:pPr>
        <w:pStyle w:val="Default"/>
        <w:jc w:val="both"/>
        <w:rPr>
          <w:rFonts w:ascii="Calibri Light" w:hAnsi="Calibri Light"/>
          <w:bCs/>
          <w:sz w:val="23"/>
          <w:szCs w:val="23"/>
        </w:rPr>
      </w:pPr>
      <w:r w:rsidRPr="00105B31">
        <w:rPr>
          <w:rFonts w:ascii="Calibri Light" w:hAnsi="Calibri Light"/>
          <w:b/>
          <w:bCs/>
          <w:sz w:val="23"/>
          <w:szCs w:val="23"/>
        </w:rPr>
        <w:lastRenderedPageBreak/>
        <w:t xml:space="preserve">Song et al, </w:t>
      </w:r>
      <w:r w:rsidRPr="00105B31">
        <w:rPr>
          <w:rFonts w:ascii="Calibri Light" w:hAnsi="Calibri Light"/>
          <w:b/>
          <w:bCs/>
          <w:i/>
          <w:sz w:val="23"/>
          <w:szCs w:val="23"/>
        </w:rPr>
        <w:t xml:space="preserve">A multi-institutional clinical trial of rectal dose reduction via injected polyethylene-glycol hydrogel during intensity modulated radiation therapy for prostate cancer: analysis of </w:t>
      </w:r>
      <w:proofErr w:type="spellStart"/>
      <w:r w:rsidRPr="00105B31">
        <w:rPr>
          <w:rFonts w:ascii="Calibri Light" w:hAnsi="Calibri Light"/>
          <w:b/>
          <w:bCs/>
          <w:i/>
          <w:sz w:val="23"/>
          <w:szCs w:val="23"/>
        </w:rPr>
        <w:t>dosimetric</w:t>
      </w:r>
      <w:proofErr w:type="spellEnd"/>
      <w:r w:rsidRPr="00105B31">
        <w:rPr>
          <w:rFonts w:ascii="Calibri Light" w:hAnsi="Calibri Light"/>
          <w:b/>
          <w:bCs/>
          <w:i/>
          <w:sz w:val="23"/>
          <w:szCs w:val="23"/>
        </w:rPr>
        <w:t xml:space="preserve"> outcomes. </w:t>
      </w:r>
      <w:r w:rsidRPr="00105B31">
        <w:rPr>
          <w:rFonts w:ascii="Calibri Light" w:hAnsi="Calibri Light"/>
          <w:bCs/>
          <w:sz w:val="23"/>
          <w:szCs w:val="23"/>
        </w:rPr>
        <w:t>[</w:t>
      </w:r>
      <w:proofErr w:type="spellStart"/>
      <w:r w:rsidRPr="00105B31">
        <w:rPr>
          <w:rFonts w:ascii="Calibri Light" w:hAnsi="Calibri Light"/>
          <w:bCs/>
          <w:iCs/>
          <w:sz w:val="23"/>
          <w:szCs w:val="23"/>
        </w:rPr>
        <w:t>Int</w:t>
      </w:r>
      <w:proofErr w:type="spellEnd"/>
      <w:r w:rsidRPr="00105B31">
        <w:rPr>
          <w:rFonts w:ascii="Calibri Light" w:hAnsi="Calibri Light"/>
          <w:bCs/>
          <w:iCs/>
          <w:sz w:val="23"/>
          <w:szCs w:val="23"/>
        </w:rPr>
        <w:t xml:space="preserve"> J </w:t>
      </w:r>
      <w:proofErr w:type="spellStart"/>
      <w:r w:rsidRPr="00105B31">
        <w:rPr>
          <w:rFonts w:ascii="Calibri Light" w:hAnsi="Calibri Light"/>
          <w:bCs/>
          <w:iCs/>
          <w:sz w:val="23"/>
          <w:szCs w:val="23"/>
        </w:rPr>
        <w:t>Radia</w:t>
      </w:r>
      <w:proofErr w:type="spellEnd"/>
      <w:r w:rsidRPr="00105B31">
        <w:rPr>
          <w:rFonts w:ascii="Calibri Light" w:hAnsi="Calibri Light"/>
          <w:bCs/>
          <w:iCs/>
          <w:sz w:val="23"/>
          <w:szCs w:val="23"/>
        </w:rPr>
        <w:t xml:space="preserve"> </w:t>
      </w:r>
      <w:proofErr w:type="spellStart"/>
      <w:r w:rsidRPr="00105B31">
        <w:rPr>
          <w:rFonts w:ascii="Calibri Light" w:hAnsi="Calibri Light"/>
          <w:bCs/>
          <w:iCs/>
          <w:sz w:val="23"/>
          <w:szCs w:val="23"/>
        </w:rPr>
        <w:t>Oncol</w:t>
      </w:r>
      <w:proofErr w:type="spellEnd"/>
      <w:r w:rsidRPr="00105B31">
        <w:rPr>
          <w:rFonts w:ascii="Calibri Light" w:hAnsi="Calibri Light"/>
          <w:bCs/>
          <w:iCs/>
          <w:sz w:val="23"/>
          <w:szCs w:val="23"/>
        </w:rPr>
        <w:t xml:space="preserve"> </w:t>
      </w:r>
      <w:proofErr w:type="spellStart"/>
      <w:r w:rsidRPr="00105B31">
        <w:rPr>
          <w:rFonts w:ascii="Calibri Light" w:hAnsi="Calibri Light"/>
          <w:bCs/>
          <w:iCs/>
          <w:sz w:val="23"/>
          <w:szCs w:val="23"/>
        </w:rPr>
        <w:t>Biol</w:t>
      </w:r>
      <w:proofErr w:type="spellEnd"/>
      <w:r w:rsidRPr="00105B31">
        <w:rPr>
          <w:rFonts w:ascii="Calibri Light" w:hAnsi="Calibri Light"/>
          <w:bCs/>
          <w:iCs/>
          <w:sz w:val="23"/>
          <w:szCs w:val="23"/>
        </w:rPr>
        <w:t xml:space="preserve"> Phys </w:t>
      </w:r>
      <w:r w:rsidRPr="00105B31">
        <w:rPr>
          <w:rFonts w:ascii="Calibri Light" w:hAnsi="Calibri Light"/>
          <w:bCs/>
          <w:sz w:val="23"/>
          <w:szCs w:val="23"/>
        </w:rPr>
        <w:t xml:space="preserve">2013 Sept 1; 87(1): 81-87. (52)] </w:t>
      </w:r>
    </w:p>
    <w:p w14:paraId="1DC8F313" w14:textId="77777777" w:rsidR="00D802BC" w:rsidRPr="00105B31" w:rsidRDefault="00D802BC" w:rsidP="00D802BC">
      <w:pPr>
        <w:pStyle w:val="Default"/>
        <w:jc w:val="both"/>
        <w:rPr>
          <w:rFonts w:ascii="Calibri Light" w:hAnsi="Calibri Light"/>
          <w:sz w:val="23"/>
          <w:szCs w:val="23"/>
        </w:rPr>
      </w:pPr>
      <w:r w:rsidRPr="00105B31">
        <w:rPr>
          <w:rFonts w:ascii="Calibri Light" w:hAnsi="Calibri Light"/>
          <w:bCs/>
          <w:sz w:val="23"/>
          <w:szCs w:val="23"/>
        </w:rPr>
        <w:t>Prospective, non-randomized, multi-center, single arm, open-label pilot clinical trial</w:t>
      </w:r>
      <w:r w:rsidRPr="00105B31">
        <w:rPr>
          <w:rFonts w:ascii="Calibri Light" w:hAnsi="Calibri Light"/>
          <w:b/>
          <w:bCs/>
          <w:sz w:val="23"/>
          <w:szCs w:val="23"/>
        </w:rPr>
        <w:t xml:space="preserve"> - </w:t>
      </w:r>
      <w:r w:rsidRPr="00105B31">
        <w:rPr>
          <w:rFonts w:ascii="Calibri Light" w:hAnsi="Calibri Light"/>
          <w:sz w:val="23"/>
          <w:szCs w:val="23"/>
        </w:rPr>
        <w:t xml:space="preserve">52 patients at 4 institutions, prospective, non-randomized, multi-center, single arm, open-label pilot clinical trial (48 patients received hydrogel). </w:t>
      </w:r>
    </w:p>
    <w:p w14:paraId="4121DBD8" w14:textId="1A258287" w:rsidR="00D802BC" w:rsidRPr="00105B31" w:rsidRDefault="00D802BC" w:rsidP="00105B31">
      <w:pPr>
        <w:pStyle w:val="Default"/>
        <w:numPr>
          <w:ilvl w:val="0"/>
          <w:numId w:val="2"/>
        </w:numPr>
        <w:rPr>
          <w:rFonts w:ascii="Calibri Light" w:hAnsi="Calibri Light"/>
          <w:sz w:val="23"/>
          <w:szCs w:val="23"/>
        </w:rPr>
      </w:pPr>
      <w:r w:rsidRPr="00105B31">
        <w:rPr>
          <w:rFonts w:ascii="Calibri Light" w:hAnsi="Calibri Light"/>
          <w:sz w:val="23"/>
          <w:szCs w:val="23"/>
        </w:rPr>
        <w:t xml:space="preserve">Patients underwent baseline scans and then were injected with perirectal spacing hydrogel and rescanned. </w:t>
      </w:r>
    </w:p>
    <w:p w14:paraId="4AFBD34C" w14:textId="2C0D4525" w:rsidR="00D802BC" w:rsidRPr="00105B31" w:rsidRDefault="00D802BC" w:rsidP="00105B31">
      <w:pPr>
        <w:pStyle w:val="Default"/>
        <w:numPr>
          <w:ilvl w:val="0"/>
          <w:numId w:val="2"/>
        </w:numPr>
        <w:rPr>
          <w:rFonts w:ascii="Calibri Light" w:hAnsi="Calibri Light"/>
          <w:sz w:val="23"/>
          <w:szCs w:val="23"/>
        </w:rPr>
      </w:pPr>
      <w:r w:rsidRPr="00105B31">
        <w:rPr>
          <w:rFonts w:ascii="Calibri Light" w:hAnsi="Calibri Light"/>
          <w:sz w:val="23"/>
          <w:szCs w:val="23"/>
        </w:rPr>
        <w:t xml:space="preserve">IMRT plans were created on both scans for comparison. </w:t>
      </w:r>
    </w:p>
    <w:p w14:paraId="39E5DEAE" w14:textId="14225697" w:rsidR="00D802BC" w:rsidRPr="00105B31" w:rsidRDefault="00D802BC" w:rsidP="00105B31">
      <w:pPr>
        <w:pStyle w:val="Default"/>
        <w:numPr>
          <w:ilvl w:val="0"/>
          <w:numId w:val="2"/>
        </w:numPr>
        <w:rPr>
          <w:rFonts w:ascii="Calibri Light" w:hAnsi="Calibri Light"/>
          <w:sz w:val="23"/>
          <w:szCs w:val="23"/>
        </w:rPr>
      </w:pPr>
      <w:r w:rsidRPr="00105B31">
        <w:rPr>
          <w:rFonts w:ascii="Calibri Light" w:eastAsia="AKJZRS+TimesNewRomanPSMT" w:hAnsi="Calibri Light"/>
          <w:sz w:val="23"/>
          <w:szCs w:val="23"/>
        </w:rPr>
        <w:t>The objectives were to establish rates of creation of ≥ 7.5 mm of prostate-rectal separation, and decrease in rectal V70 of ≥ 25%.</w:t>
      </w:r>
    </w:p>
    <w:p w14:paraId="429C8B68" w14:textId="04609089" w:rsidR="00D802BC" w:rsidRPr="00105B31" w:rsidRDefault="00D802BC" w:rsidP="00105B31">
      <w:pPr>
        <w:pStyle w:val="Default"/>
        <w:numPr>
          <w:ilvl w:val="0"/>
          <w:numId w:val="2"/>
        </w:numPr>
        <w:rPr>
          <w:rFonts w:ascii="Calibri Light" w:eastAsia="AKJZRS+TimesNewRomanPSMT" w:hAnsi="Calibri Light"/>
          <w:sz w:val="23"/>
          <w:szCs w:val="23"/>
        </w:rPr>
      </w:pPr>
      <w:r w:rsidRPr="00105B31">
        <w:rPr>
          <w:rFonts w:ascii="Calibri Light" w:eastAsia="AKJZRS+TimesNewRomanPSMT" w:hAnsi="Calibri Light"/>
          <w:sz w:val="23"/>
          <w:szCs w:val="23"/>
        </w:rPr>
        <w:t xml:space="preserve">Hydrogel resulted in ≥7.5-mm prostate-rectal separation in 95.8% of patients; o95.7% had decreased rectal V70 of ≥ 25%, with a mean reduction of 8.0 </w:t>
      </w:r>
      <w:proofErr w:type="spellStart"/>
      <w:r w:rsidRPr="00105B31">
        <w:rPr>
          <w:rFonts w:ascii="Calibri Light" w:eastAsia="AKJZRS+TimesNewRomanPSMT" w:hAnsi="Calibri Light"/>
          <w:sz w:val="23"/>
          <w:szCs w:val="23"/>
        </w:rPr>
        <w:t>Gy</w:t>
      </w:r>
      <w:proofErr w:type="spellEnd"/>
      <w:r w:rsidRPr="00105B31">
        <w:rPr>
          <w:rFonts w:ascii="Calibri Light" w:eastAsia="AKJZRS+TimesNewRomanPSMT" w:hAnsi="Calibri Light"/>
          <w:sz w:val="23"/>
          <w:szCs w:val="23"/>
        </w:rPr>
        <w:t>. P. 36 7</w:t>
      </w:r>
    </w:p>
    <w:p w14:paraId="0A9CF897" w14:textId="07959BA9" w:rsidR="00D802BC" w:rsidRPr="00105B31" w:rsidRDefault="00D802BC" w:rsidP="00105B31">
      <w:pPr>
        <w:pStyle w:val="Default"/>
        <w:numPr>
          <w:ilvl w:val="0"/>
          <w:numId w:val="2"/>
        </w:numPr>
        <w:rPr>
          <w:rFonts w:ascii="Calibri Light" w:eastAsia="AKJZRS+TimesNewRomanPSMT" w:hAnsi="Calibri Light"/>
          <w:sz w:val="23"/>
          <w:szCs w:val="23"/>
        </w:rPr>
      </w:pPr>
      <w:r w:rsidRPr="00105B31">
        <w:rPr>
          <w:rFonts w:ascii="Calibri Light" w:eastAsia="AKJZRS+TimesNewRomanPSMT" w:hAnsi="Calibri Light"/>
          <w:sz w:val="23"/>
          <w:szCs w:val="23"/>
        </w:rPr>
        <w:t>Conclusion:</w:t>
      </w:r>
    </w:p>
    <w:p w14:paraId="756D4E2B" w14:textId="3147A897" w:rsidR="00D802BC" w:rsidRPr="00105B31" w:rsidRDefault="00D802BC" w:rsidP="00105B31">
      <w:pPr>
        <w:pStyle w:val="Default"/>
        <w:numPr>
          <w:ilvl w:val="0"/>
          <w:numId w:val="3"/>
        </w:numPr>
        <w:rPr>
          <w:rFonts w:ascii="Calibri Light" w:eastAsia="AKJZRS+TimesNewRomanPSMT" w:hAnsi="Calibri Light"/>
          <w:sz w:val="23"/>
          <w:szCs w:val="23"/>
        </w:rPr>
      </w:pPr>
      <w:r w:rsidRPr="00105B31">
        <w:rPr>
          <w:rFonts w:ascii="Calibri Light" w:eastAsia="AKJZRS+TimesNewRomanPSMT" w:hAnsi="Calibri Light"/>
          <w:sz w:val="23"/>
          <w:szCs w:val="23"/>
        </w:rPr>
        <w:t>Injection of hydrogel into the prostate-rectal interface resulted in clinically significant dose reductions to rectum for &gt;90% of patients.</w:t>
      </w:r>
    </w:p>
    <w:p w14:paraId="7D5CC7AC" w14:textId="7D98C0FD" w:rsidR="00D802BC" w:rsidRPr="00105B31" w:rsidRDefault="00D802BC" w:rsidP="00105B31">
      <w:pPr>
        <w:pStyle w:val="Default"/>
        <w:numPr>
          <w:ilvl w:val="0"/>
          <w:numId w:val="3"/>
        </w:numPr>
        <w:rPr>
          <w:rFonts w:ascii="Calibri Light" w:eastAsia="AKJZRS+TimesNewRomanPSMT" w:hAnsi="Calibri Light"/>
          <w:sz w:val="23"/>
          <w:szCs w:val="23"/>
        </w:rPr>
      </w:pPr>
      <w:r w:rsidRPr="00105B31">
        <w:rPr>
          <w:rFonts w:ascii="Calibri Light" w:eastAsia="AKJZRS+TimesNewRomanPSMT" w:hAnsi="Calibri Light"/>
          <w:sz w:val="23"/>
          <w:szCs w:val="23"/>
        </w:rPr>
        <w:t xml:space="preserve">Rectal sparing was statistically significant across a range of 10 to 75 </w:t>
      </w:r>
      <w:proofErr w:type="spellStart"/>
      <w:r w:rsidRPr="00105B31">
        <w:rPr>
          <w:rFonts w:ascii="Calibri Light" w:eastAsia="AKJZRS+TimesNewRomanPSMT" w:hAnsi="Calibri Light"/>
          <w:sz w:val="23"/>
          <w:szCs w:val="23"/>
        </w:rPr>
        <w:t>Gy</w:t>
      </w:r>
      <w:proofErr w:type="spellEnd"/>
      <w:r w:rsidRPr="00105B31">
        <w:rPr>
          <w:rFonts w:ascii="Calibri Light" w:eastAsia="AKJZRS+TimesNewRomanPSMT" w:hAnsi="Calibri Light"/>
          <w:sz w:val="23"/>
          <w:szCs w:val="23"/>
        </w:rPr>
        <w:t xml:space="preserve"> </w:t>
      </w:r>
    </w:p>
    <w:p w14:paraId="30BC44F3" w14:textId="39937A4B" w:rsidR="004109D2" w:rsidRPr="00105B31" w:rsidRDefault="004109D2" w:rsidP="004109D2">
      <w:pPr>
        <w:pStyle w:val="Default"/>
        <w:rPr>
          <w:rFonts w:ascii="Calibri Light" w:hAnsi="Calibri Light"/>
          <w:b/>
          <w:bCs/>
          <w:sz w:val="23"/>
          <w:szCs w:val="23"/>
        </w:rPr>
      </w:pPr>
    </w:p>
    <w:p w14:paraId="69C756E0" w14:textId="77777777" w:rsidR="0003149B" w:rsidRPr="00105B31" w:rsidRDefault="0003149B" w:rsidP="004109D2">
      <w:pPr>
        <w:pStyle w:val="Default"/>
        <w:rPr>
          <w:rFonts w:ascii="Calibri Light" w:hAnsi="Calibri Light"/>
          <w:b/>
          <w:bCs/>
          <w:sz w:val="23"/>
          <w:szCs w:val="23"/>
        </w:rPr>
      </w:pPr>
    </w:p>
    <w:p w14:paraId="1FB007F4" w14:textId="0FC925E7" w:rsidR="004109D2" w:rsidRPr="00105B31" w:rsidRDefault="004109D2" w:rsidP="004109D2">
      <w:pPr>
        <w:pStyle w:val="Default"/>
        <w:rPr>
          <w:rFonts w:ascii="Calibri Light" w:hAnsi="Calibri Light"/>
          <w:bCs/>
          <w:sz w:val="23"/>
          <w:szCs w:val="23"/>
        </w:rPr>
      </w:pPr>
      <w:proofErr w:type="spellStart"/>
      <w:r w:rsidRPr="00105B31">
        <w:rPr>
          <w:rFonts w:ascii="Calibri Light" w:hAnsi="Calibri Light"/>
          <w:b/>
          <w:bCs/>
          <w:sz w:val="23"/>
          <w:szCs w:val="23"/>
        </w:rPr>
        <w:t>Pieczonka</w:t>
      </w:r>
      <w:proofErr w:type="spellEnd"/>
      <w:r w:rsidRPr="00105B31">
        <w:rPr>
          <w:rFonts w:ascii="Calibri Light" w:hAnsi="Calibri Light"/>
          <w:b/>
          <w:bCs/>
          <w:sz w:val="23"/>
          <w:szCs w:val="23"/>
        </w:rPr>
        <w:t xml:space="preserve"> CM, et al. </w:t>
      </w:r>
      <w:r w:rsidRPr="00105B31">
        <w:rPr>
          <w:rFonts w:ascii="Calibri Light" w:hAnsi="Calibri Light"/>
          <w:b/>
          <w:bCs/>
          <w:i/>
          <w:sz w:val="23"/>
          <w:szCs w:val="23"/>
        </w:rPr>
        <w:t>Hydrogel spacer application technique, patient tolerance and impact on prostate intensity modulated radiation therapy: results from a prospective, multicenter, pivotal randomized controlled trial</w:t>
      </w:r>
      <w:r w:rsidRPr="00105B31">
        <w:rPr>
          <w:rFonts w:ascii="Calibri Light" w:hAnsi="Calibri Light"/>
          <w:bCs/>
          <w:sz w:val="23"/>
          <w:szCs w:val="23"/>
        </w:rPr>
        <w:t>/</w:t>
      </w:r>
      <w:proofErr w:type="spellStart"/>
      <w:r w:rsidRPr="00105B31">
        <w:rPr>
          <w:rFonts w:ascii="Calibri Light" w:hAnsi="Calibri Light"/>
          <w:bCs/>
          <w:sz w:val="23"/>
          <w:szCs w:val="23"/>
        </w:rPr>
        <w:t>Urol</w:t>
      </w:r>
      <w:proofErr w:type="spellEnd"/>
      <w:r w:rsidRPr="00105B31">
        <w:rPr>
          <w:rFonts w:ascii="Calibri Light" w:hAnsi="Calibri Light"/>
          <w:bCs/>
          <w:sz w:val="23"/>
          <w:szCs w:val="23"/>
        </w:rPr>
        <w:t xml:space="preserve"> </w:t>
      </w:r>
      <w:proofErr w:type="spellStart"/>
      <w:r w:rsidRPr="00105B31">
        <w:rPr>
          <w:rFonts w:ascii="Calibri Light" w:hAnsi="Calibri Light"/>
          <w:bCs/>
          <w:sz w:val="23"/>
          <w:szCs w:val="23"/>
        </w:rPr>
        <w:t>Pract</w:t>
      </w:r>
      <w:proofErr w:type="spellEnd"/>
      <w:r w:rsidRPr="00105B31">
        <w:rPr>
          <w:rFonts w:ascii="Calibri Light" w:hAnsi="Calibri Light"/>
          <w:bCs/>
          <w:sz w:val="23"/>
          <w:szCs w:val="23"/>
        </w:rPr>
        <w:t>. 2015;3(2):141-146. doi:10.1016/j.urpr.2015.04.002/PMID N/A</w:t>
      </w:r>
    </w:p>
    <w:p w14:paraId="3F2DDFE7" w14:textId="77777777" w:rsidR="004109D2" w:rsidRPr="00105B31" w:rsidRDefault="004109D2" w:rsidP="00105B31">
      <w:pPr>
        <w:pStyle w:val="Default"/>
        <w:numPr>
          <w:ilvl w:val="0"/>
          <w:numId w:val="4"/>
        </w:numPr>
        <w:jc w:val="both"/>
        <w:rPr>
          <w:rFonts w:ascii="Calibri Light" w:hAnsi="Calibri Light"/>
          <w:bCs/>
          <w:sz w:val="23"/>
          <w:szCs w:val="23"/>
        </w:rPr>
      </w:pPr>
      <w:r w:rsidRPr="00105B31">
        <w:rPr>
          <w:rFonts w:ascii="Calibri Light" w:hAnsi="Calibri Light"/>
          <w:bCs/>
          <w:sz w:val="23"/>
          <w:szCs w:val="23"/>
        </w:rPr>
        <w:t xml:space="preserve">Application technique assessment of same patient cohort as </w:t>
      </w:r>
      <w:proofErr w:type="spellStart"/>
      <w:r w:rsidRPr="00105B31">
        <w:rPr>
          <w:rFonts w:ascii="Calibri Light" w:hAnsi="Calibri Light"/>
          <w:bCs/>
          <w:sz w:val="23"/>
          <w:szCs w:val="23"/>
        </w:rPr>
        <w:t>Mariados</w:t>
      </w:r>
      <w:proofErr w:type="spellEnd"/>
      <w:r w:rsidRPr="00105B31">
        <w:rPr>
          <w:rFonts w:ascii="Calibri Light" w:hAnsi="Calibri Light"/>
          <w:bCs/>
          <w:sz w:val="23"/>
          <w:szCs w:val="23"/>
        </w:rPr>
        <w:t xml:space="preserve"> et.al. study</w:t>
      </w:r>
    </w:p>
    <w:p w14:paraId="5DF3669A" w14:textId="77777777" w:rsidR="004109D2" w:rsidRPr="00105B31" w:rsidRDefault="004109D2" w:rsidP="00105B31">
      <w:pPr>
        <w:pStyle w:val="Default"/>
        <w:numPr>
          <w:ilvl w:val="0"/>
          <w:numId w:val="4"/>
        </w:numPr>
        <w:jc w:val="both"/>
        <w:rPr>
          <w:rFonts w:ascii="Calibri Light" w:hAnsi="Calibri Light"/>
          <w:bCs/>
          <w:sz w:val="23"/>
          <w:szCs w:val="23"/>
        </w:rPr>
      </w:pPr>
      <w:r w:rsidRPr="00105B31">
        <w:rPr>
          <w:rFonts w:ascii="Calibri Light" w:hAnsi="Calibri Light"/>
          <w:bCs/>
          <w:sz w:val="23"/>
          <w:szCs w:val="23"/>
        </w:rPr>
        <w:t>The spacer application success rate was 99.3% (applier assessment) and device ease of use was rated as very easy or easy in 69.4% and 29.3% of all cases, respectively.</w:t>
      </w:r>
    </w:p>
    <w:p w14:paraId="5DB3F8F0" w14:textId="77777777" w:rsidR="004109D2" w:rsidRPr="00105B31" w:rsidRDefault="004109D2" w:rsidP="00105B31">
      <w:pPr>
        <w:pStyle w:val="Default"/>
        <w:numPr>
          <w:ilvl w:val="0"/>
          <w:numId w:val="4"/>
        </w:numPr>
        <w:jc w:val="both"/>
        <w:rPr>
          <w:rFonts w:ascii="Calibri Light" w:hAnsi="Calibri Light"/>
          <w:bCs/>
          <w:sz w:val="23"/>
          <w:szCs w:val="23"/>
        </w:rPr>
      </w:pPr>
      <w:r w:rsidRPr="00105B31">
        <w:rPr>
          <w:rFonts w:ascii="Calibri Light" w:hAnsi="Calibri Light"/>
          <w:bCs/>
          <w:sz w:val="23"/>
          <w:szCs w:val="23"/>
        </w:rPr>
        <w:t>Hydrogel spacer application was straightforward and repeatable, resulting in consistent perirectal space creation and rectal dose reduction.</w:t>
      </w:r>
    </w:p>
    <w:p w14:paraId="5C61E49B" w14:textId="77777777" w:rsidR="004109D2" w:rsidRPr="00105B31" w:rsidRDefault="004109D2" w:rsidP="00105B31">
      <w:pPr>
        <w:pStyle w:val="Default"/>
        <w:numPr>
          <w:ilvl w:val="0"/>
          <w:numId w:val="4"/>
        </w:numPr>
        <w:jc w:val="both"/>
        <w:rPr>
          <w:rFonts w:ascii="Calibri Light" w:hAnsi="Calibri Light"/>
          <w:bCs/>
          <w:sz w:val="23"/>
          <w:szCs w:val="23"/>
        </w:rPr>
      </w:pPr>
      <w:r w:rsidRPr="00105B31">
        <w:rPr>
          <w:rFonts w:ascii="Calibri Light" w:hAnsi="Calibri Light"/>
          <w:bCs/>
          <w:sz w:val="23"/>
          <w:szCs w:val="23"/>
        </w:rPr>
        <w:t>Spacer application has the potential to improve prostate radiotherapy outcomes and enable advanced radiotherapy protocols.</w:t>
      </w:r>
    </w:p>
    <w:p w14:paraId="6830B008" w14:textId="2C5D3C50" w:rsidR="004109D2" w:rsidRPr="00105B31" w:rsidRDefault="004109D2" w:rsidP="004109D2">
      <w:pPr>
        <w:pStyle w:val="Default"/>
        <w:rPr>
          <w:rFonts w:ascii="Calibri Light" w:eastAsia="AKJZRS+TimesNewRomanPSMT" w:hAnsi="Calibri Light"/>
          <w:sz w:val="23"/>
          <w:szCs w:val="23"/>
        </w:rPr>
      </w:pPr>
    </w:p>
    <w:p w14:paraId="0FDF9950" w14:textId="77777777" w:rsidR="0003149B" w:rsidRPr="00105B31" w:rsidRDefault="0003149B" w:rsidP="004109D2">
      <w:pPr>
        <w:pStyle w:val="Default"/>
        <w:rPr>
          <w:rFonts w:ascii="Calibri Light" w:eastAsia="AKJZRS+TimesNewRomanPSMT" w:hAnsi="Calibri Light"/>
          <w:sz w:val="23"/>
          <w:szCs w:val="23"/>
        </w:rPr>
      </w:pPr>
    </w:p>
    <w:p w14:paraId="62032DA9" w14:textId="7912908D" w:rsidR="004109D2" w:rsidRPr="00105B31" w:rsidRDefault="004109D2" w:rsidP="004109D2">
      <w:pPr>
        <w:pStyle w:val="Default"/>
        <w:rPr>
          <w:rFonts w:ascii="Calibri Light" w:eastAsia="AKJZRS+TimesNewRomanPSMT" w:hAnsi="Calibri Light"/>
          <w:sz w:val="23"/>
          <w:szCs w:val="23"/>
        </w:rPr>
      </w:pPr>
      <w:r w:rsidRPr="00105B31">
        <w:rPr>
          <w:rFonts w:ascii="Calibri Light" w:eastAsia="AKJZRS+TimesNewRomanPSMT" w:hAnsi="Calibri Light"/>
          <w:b/>
          <w:sz w:val="23"/>
          <w:szCs w:val="23"/>
        </w:rPr>
        <w:t>Fischer-</w:t>
      </w:r>
      <w:proofErr w:type="spellStart"/>
      <w:r w:rsidRPr="00105B31">
        <w:rPr>
          <w:rFonts w:ascii="Calibri Light" w:eastAsia="AKJZRS+TimesNewRomanPSMT" w:hAnsi="Calibri Light"/>
          <w:b/>
          <w:sz w:val="23"/>
          <w:szCs w:val="23"/>
        </w:rPr>
        <w:t>Valuck</w:t>
      </w:r>
      <w:proofErr w:type="spellEnd"/>
      <w:r w:rsidRPr="00105B31">
        <w:rPr>
          <w:rFonts w:ascii="Calibri Light" w:eastAsia="AKJZRS+TimesNewRomanPSMT" w:hAnsi="Calibri Light"/>
          <w:b/>
          <w:sz w:val="23"/>
          <w:szCs w:val="23"/>
        </w:rPr>
        <w:t xml:space="preserve"> B.W., et al. </w:t>
      </w:r>
      <w:r w:rsidRPr="00105B31">
        <w:rPr>
          <w:rFonts w:ascii="Calibri Light" w:eastAsia="AKJZRS+TimesNewRomanPSMT" w:hAnsi="Calibri Light"/>
          <w:b/>
          <w:i/>
          <w:sz w:val="23"/>
          <w:szCs w:val="23"/>
        </w:rPr>
        <w:t>Hydrogel spacer distribution within the perirectal space in patients undergoing radiotherapy for prostate cancer: Impact of spacer symmetry on rectal dose reduction and the clinical consequences of hydrogel infiltration into the rectal wall.</w:t>
      </w:r>
      <w:r w:rsidRPr="00105B31">
        <w:rPr>
          <w:rFonts w:ascii="Calibri Light" w:eastAsia="AKJZRS+TimesNewRomanPSMT" w:hAnsi="Calibri Light"/>
          <w:b/>
          <w:sz w:val="23"/>
          <w:szCs w:val="23"/>
        </w:rPr>
        <w:t xml:space="preserve"> </w:t>
      </w:r>
      <w:r w:rsidRPr="00105B31">
        <w:rPr>
          <w:rFonts w:ascii="Calibri Light" w:eastAsia="AKJZRS+TimesNewRomanPSMT" w:hAnsi="Calibri Light"/>
          <w:sz w:val="23"/>
          <w:szCs w:val="23"/>
        </w:rPr>
        <w:t>[</w:t>
      </w:r>
      <w:r w:rsidR="007C684D" w:rsidRPr="00105B31">
        <w:rPr>
          <w:rFonts w:ascii="Calibri Light" w:eastAsia="AKJZRS+TimesNewRomanPSMT" w:hAnsi="Calibri Light"/>
          <w:sz w:val="23"/>
          <w:szCs w:val="23"/>
        </w:rPr>
        <w:t>Practical Radiation Oncology, Volume 0, Issue 0]</w:t>
      </w:r>
    </w:p>
    <w:p w14:paraId="5840710D" w14:textId="3C6C93E1" w:rsidR="007C684D" w:rsidRPr="00105B31" w:rsidRDefault="007C684D" w:rsidP="004109D2">
      <w:pPr>
        <w:pStyle w:val="Default"/>
        <w:rPr>
          <w:rFonts w:ascii="Calibri Light" w:eastAsia="AKJZRS+TimesNewRomanPSMT" w:hAnsi="Calibri Light"/>
          <w:sz w:val="23"/>
          <w:szCs w:val="23"/>
        </w:rPr>
      </w:pPr>
      <w:r w:rsidRPr="00105B31">
        <w:rPr>
          <w:rFonts w:ascii="Calibri Light" w:eastAsia="AKJZRS+TimesNewRomanPSMT" w:hAnsi="Calibri Light"/>
          <w:sz w:val="23"/>
          <w:szCs w:val="23"/>
        </w:rPr>
        <w:t xml:space="preserve">Analysis of T2-weighted magnetic resonance imaging sets of </w:t>
      </w:r>
      <w:proofErr w:type="spellStart"/>
      <w:r w:rsidRPr="00105B31">
        <w:rPr>
          <w:rFonts w:ascii="Calibri Light" w:eastAsia="AKJZRS+TimesNewRomanPSMT" w:hAnsi="Calibri Light"/>
          <w:sz w:val="23"/>
          <w:szCs w:val="23"/>
        </w:rPr>
        <w:t>Mariados</w:t>
      </w:r>
      <w:proofErr w:type="spellEnd"/>
      <w:r w:rsidRPr="00105B31">
        <w:rPr>
          <w:rFonts w:ascii="Calibri Light" w:eastAsia="AKJZRS+TimesNewRomanPSMT" w:hAnsi="Calibri Light"/>
          <w:sz w:val="23"/>
          <w:szCs w:val="23"/>
        </w:rPr>
        <w:t xml:space="preserve"> et al. study cohort receiving </w:t>
      </w:r>
      <w:proofErr w:type="spellStart"/>
      <w:r w:rsidRPr="00105B31">
        <w:rPr>
          <w:rFonts w:ascii="Calibri Light" w:eastAsia="AKJZRS+TimesNewRomanPSMT" w:hAnsi="Calibri Light"/>
          <w:sz w:val="23"/>
          <w:szCs w:val="23"/>
        </w:rPr>
        <w:t>SpaceOAR</w:t>
      </w:r>
      <w:proofErr w:type="spellEnd"/>
      <w:r w:rsidRPr="00105B31">
        <w:rPr>
          <w:rFonts w:ascii="Calibri Light" w:eastAsia="AKJZRS+TimesNewRomanPSMT" w:hAnsi="Calibri Light"/>
          <w:sz w:val="23"/>
          <w:szCs w:val="23"/>
        </w:rPr>
        <w:t xml:space="preserve"> injection</w:t>
      </w:r>
    </w:p>
    <w:p w14:paraId="2C71E34D" w14:textId="34CBDF78" w:rsidR="007C684D" w:rsidRPr="00105B31" w:rsidRDefault="007C684D" w:rsidP="00105B31">
      <w:pPr>
        <w:pStyle w:val="Default"/>
        <w:numPr>
          <w:ilvl w:val="0"/>
          <w:numId w:val="1"/>
        </w:numPr>
        <w:rPr>
          <w:rFonts w:ascii="Calibri Light" w:eastAsia="AKJZRS+TimesNewRomanPSMT" w:hAnsi="Calibri Light"/>
          <w:sz w:val="23"/>
          <w:szCs w:val="23"/>
        </w:rPr>
      </w:pPr>
      <w:r w:rsidRPr="00105B31">
        <w:rPr>
          <w:rFonts w:ascii="Calibri Light" w:eastAsia="AKJZRS+TimesNewRomanPSMT" w:hAnsi="Calibri Light"/>
          <w:sz w:val="23"/>
          <w:szCs w:val="23"/>
        </w:rPr>
        <w:t xml:space="preserve">Patients receiving </w:t>
      </w:r>
      <w:proofErr w:type="spellStart"/>
      <w:r w:rsidRPr="00105B31">
        <w:rPr>
          <w:rFonts w:ascii="Calibri Light" w:eastAsia="AKJZRS+TimesNewRomanPSMT" w:hAnsi="Calibri Light"/>
          <w:sz w:val="23"/>
          <w:szCs w:val="23"/>
        </w:rPr>
        <w:t>transperineal</w:t>
      </w:r>
      <w:proofErr w:type="spellEnd"/>
      <w:r w:rsidRPr="00105B31">
        <w:rPr>
          <w:rFonts w:ascii="Calibri Light" w:eastAsia="AKJZRS+TimesNewRomanPSMT" w:hAnsi="Calibri Light"/>
          <w:sz w:val="23"/>
          <w:szCs w:val="23"/>
        </w:rPr>
        <w:t xml:space="preserve"> spacer injection were assessed for hydrogel spacer symmetry and rectal wall infiltration (RWI) using a semiqualitative scoring system.</w:t>
      </w:r>
    </w:p>
    <w:p w14:paraId="0C48C435" w14:textId="0BF3CC9E" w:rsidR="007C684D" w:rsidRPr="00105B31" w:rsidRDefault="007C684D" w:rsidP="00105B31">
      <w:pPr>
        <w:pStyle w:val="Default"/>
        <w:numPr>
          <w:ilvl w:val="0"/>
          <w:numId w:val="1"/>
        </w:numPr>
        <w:rPr>
          <w:rFonts w:ascii="Calibri Light" w:eastAsia="AKJZRS+TimesNewRomanPSMT" w:hAnsi="Calibri Light"/>
          <w:sz w:val="23"/>
          <w:szCs w:val="23"/>
        </w:rPr>
      </w:pPr>
      <w:r w:rsidRPr="00105B31">
        <w:rPr>
          <w:rFonts w:ascii="Calibri Light" w:eastAsia="AKJZRS+TimesNewRomanPSMT" w:hAnsi="Calibri Light"/>
          <w:sz w:val="23"/>
          <w:szCs w:val="23"/>
        </w:rPr>
        <w:t xml:space="preserve">Hydrogel spacer was symmetrically placed at midline for 71 (47.7%) patients at the prostate </w:t>
      </w:r>
      <w:proofErr w:type="spellStart"/>
      <w:r w:rsidRPr="00105B31">
        <w:rPr>
          <w:rFonts w:ascii="Calibri Light" w:eastAsia="AKJZRS+TimesNewRomanPSMT" w:hAnsi="Calibri Light"/>
          <w:sz w:val="23"/>
          <w:szCs w:val="23"/>
        </w:rPr>
        <w:t>midgland</w:t>
      </w:r>
      <w:proofErr w:type="spellEnd"/>
      <w:r w:rsidRPr="00105B31">
        <w:rPr>
          <w:rFonts w:ascii="Calibri Light" w:eastAsia="AKJZRS+TimesNewRomanPSMT" w:hAnsi="Calibri Light"/>
          <w:sz w:val="23"/>
          <w:szCs w:val="23"/>
        </w:rPr>
        <w:t xml:space="preserve"> as well as 1cm superior and inferior to </w:t>
      </w:r>
      <w:proofErr w:type="spellStart"/>
      <w:r w:rsidRPr="00105B31">
        <w:rPr>
          <w:rFonts w:ascii="Calibri Light" w:eastAsia="AKJZRS+TimesNewRomanPSMT" w:hAnsi="Calibri Light"/>
          <w:sz w:val="23"/>
          <w:szCs w:val="23"/>
        </w:rPr>
        <w:t>midgland</w:t>
      </w:r>
      <w:proofErr w:type="spellEnd"/>
      <w:r w:rsidRPr="00105B31">
        <w:rPr>
          <w:rFonts w:ascii="Calibri Light" w:eastAsia="AKJZRS+TimesNewRomanPSMT" w:hAnsi="Calibri Light"/>
          <w:sz w:val="23"/>
          <w:szCs w:val="23"/>
        </w:rPr>
        <w:t>. The remaining 78 (50.9%) had some level of asymmetry, with only 2 (1.3%) having far lateral distribution (i.e., &gt;2cm) of hydrogel spacer.</w:t>
      </w:r>
    </w:p>
    <w:p w14:paraId="22FD7409" w14:textId="2440BBFD" w:rsidR="007C684D" w:rsidRPr="00105B31" w:rsidRDefault="007C684D" w:rsidP="00105B31">
      <w:pPr>
        <w:pStyle w:val="Default"/>
        <w:numPr>
          <w:ilvl w:val="0"/>
          <w:numId w:val="1"/>
        </w:numPr>
        <w:rPr>
          <w:rFonts w:ascii="Calibri Light" w:eastAsia="AKJZRS+TimesNewRomanPSMT" w:hAnsi="Calibri Light"/>
          <w:sz w:val="23"/>
          <w:szCs w:val="23"/>
        </w:rPr>
      </w:pPr>
      <w:r w:rsidRPr="00105B31">
        <w:rPr>
          <w:rFonts w:ascii="Calibri Light" w:eastAsia="AKJZRS+TimesNewRomanPSMT" w:hAnsi="Calibri Light"/>
          <w:sz w:val="23"/>
          <w:szCs w:val="23"/>
        </w:rPr>
        <w:t>All but the most asymmetrical 1.3% had significant rectal dose reduction (p&lt;0.05)</w:t>
      </w:r>
    </w:p>
    <w:p w14:paraId="5DF22478" w14:textId="77777777" w:rsidR="007C684D" w:rsidRPr="00105B31" w:rsidRDefault="007C684D" w:rsidP="00105B31">
      <w:pPr>
        <w:pStyle w:val="Default"/>
        <w:numPr>
          <w:ilvl w:val="0"/>
          <w:numId w:val="1"/>
        </w:numPr>
        <w:rPr>
          <w:rFonts w:ascii="Calibri Light" w:eastAsia="AKJZRS+TimesNewRomanPSMT" w:hAnsi="Calibri Light"/>
          <w:sz w:val="23"/>
          <w:szCs w:val="23"/>
        </w:rPr>
      </w:pPr>
      <w:r w:rsidRPr="00105B31">
        <w:rPr>
          <w:rFonts w:ascii="Calibri Light" w:eastAsia="AKJZRS+TimesNewRomanPSMT" w:hAnsi="Calibri Light"/>
          <w:sz w:val="23"/>
          <w:szCs w:val="23"/>
        </w:rPr>
        <w:t xml:space="preserve">Rectal wall hydrogel spacer infiltration was seen in 9 (6.0%) patients. </w:t>
      </w:r>
    </w:p>
    <w:p w14:paraId="627891B4" w14:textId="19975705" w:rsidR="007C684D" w:rsidRPr="00105B31" w:rsidRDefault="007C684D" w:rsidP="00105B31">
      <w:pPr>
        <w:pStyle w:val="Default"/>
        <w:numPr>
          <w:ilvl w:val="0"/>
          <w:numId w:val="1"/>
        </w:numPr>
        <w:rPr>
          <w:rFonts w:ascii="Calibri Light" w:eastAsia="AKJZRS+TimesNewRomanPSMT" w:hAnsi="Calibri Light"/>
          <w:sz w:val="23"/>
          <w:szCs w:val="23"/>
        </w:rPr>
      </w:pPr>
      <w:r w:rsidRPr="00105B31">
        <w:rPr>
          <w:rFonts w:ascii="Calibri Light" w:eastAsia="AKJZRS+TimesNewRomanPSMT" w:hAnsi="Calibri Light"/>
          <w:sz w:val="23"/>
          <w:szCs w:val="23"/>
        </w:rPr>
        <w:t>There was no correlation between RWI and procedure-related adverse events or acute/late rectal toxicity.</w:t>
      </w:r>
    </w:p>
    <w:p w14:paraId="6FB4F686" w14:textId="1E447953" w:rsidR="0003149B" w:rsidRPr="00105B31" w:rsidRDefault="0003149B" w:rsidP="000D2884">
      <w:pPr>
        <w:pStyle w:val="Default"/>
        <w:rPr>
          <w:rFonts w:ascii="Calibri Light" w:hAnsi="Calibri Light"/>
          <w:b/>
          <w:color w:val="333333"/>
          <w:sz w:val="23"/>
          <w:szCs w:val="23"/>
          <w:lang w:val="en"/>
        </w:rPr>
      </w:pPr>
    </w:p>
    <w:p w14:paraId="7F2ABDB7" w14:textId="77777777" w:rsidR="007C684D" w:rsidRPr="00105B31" w:rsidRDefault="007C684D" w:rsidP="007C684D">
      <w:pPr>
        <w:pStyle w:val="Default"/>
        <w:jc w:val="both"/>
        <w:rPr>
          <w:rFonts w:ascii="Calibri Light" w:eastAsia="AKJZRS+TimesNewRomanPSMT" w:hAnsi="Calibri Light"/>
          <w:b/>
          <w:bCs/>
          <w:sz w:val="23"/>
          <w:szCs w:val="23"/>
        </w:rPr>
      </w:pPr>
      <w:proofErr w:type="spellStart"/>
      <w:r w:rsidRPr="00105B31">
        <w:rPr>
          <w:rFonts w:ascii="Calibri Light" w:eastAsia="AKJZRS+TimesNewRomanPSMT" w:hAnsi="Calibri Light"/>
          <w:b/>
          <w:bCs/>
          <w:sz w:val="23"/>
          <w:szCs w:val="23"/>
        </w:rPr>
        <w:lastRenderedPageBreak/>
        <w:t>Uhl</w:t>
      </w:r>
      <w:proofErr w:type="spellEnd"/>
      <w:r w:rsidRPr="00105B31">
        <w:rPr>
          <w:rFonts w:ascii="Calibri Light" w:eastAsia="AKJZRS+TimesNewRomanPSMT" w:hAnsi="Calibri Light"/>
          <w:b/>
          <w:bCs/>
          <w:sz w:val="23"/>
          <w:szCs w:val="23"/>
        </w:rPr>
        <w:t>,</w:t>
      </w:r>
      <w:r w:rsidRPr="00105B31">
        <w:rPr>
          <w:rFonts w:ascii="Calibri Light" w:hAnsi="Calibri Light"/>
          <w:sz w:val="23"/>
          <w:szCs w:val="23"/>
        </w:rPr>
        <w:t xml:space="preserve"> </w:t>
      </w:r>
      <w:r w:rsidRPr="00105B31">
        <w:rPr>
          <w:rFonts w:ascii="Calibri Light" w:eastAsia="AKJZRS+TimesNewRomanPSMT" w:hAnsi="Calibri Light"/>
          <w:b/>
          <w:bCs/>
          <w:sz w:val="23"/>
          <w:szCs w:val="23"/>
        </w:rPr>
        <w:t xml:space="preserve">et al.  </w:t>
      </w:r>
      <w:r w:rsidRPr="00105B31">
        <w:rPr>
          <w:rFonts w:ascii="Calibri Light" w:eastAsia="AKJZRS+TimesNewRomanPSMT" w:hAnsi="Calibri Light"/>
          <w:b/>
          <w:bCs/>
          <w:i/>
          <w:sz w:val="23"/>
          <w:szCs w:val="23"/>
        </w:rPr>
        <w:t xml:space="preserve">Absorbable hydrogel spacer use in men undergoing prostate cancer radiotherapy: 12-month toxicity and proctoscopy results of a prospective multicenter phase II trial. </w:t>
      </w:r>
      <w:r w:rsidRPr="00105B31">
        <w:rPr>
          <w:rFonts w:ascii="Calibri Light" w:eastAsia="AKJZRS+TimesNewRomanPSMT" w:hAnsi="Calibri Light"/>
          <w:bCs/>
          <w:i/>
          <w:sz w:val="23"/>
          <w:szCs w:val="23"/>
        </w:rPr>
        <w:t>[</w:t>
      </w:r>
      <w:proofErr w:type="spellStart"/>
      <w:r w:rsidRPr="00105B31">
        <w:rPr>
          <w:rFonts w:ascii="Calibri Light" w:eastAsia="AKJZRS+TimesNewRomanPSMT" w:hAnsi="Calibri Light"/>
          <w:bCs/>
          <w:iCs/>
          <w:sz w:val="23"/>
          <w:szCs w:val="23"/>
        </w:rPr>
        <w:t>Radiat</w:t>
      </w:r>
      <w:proofErr w:type="spellEnd"/>
      <w:r w:rsidRPr="00105B31">
        <w:rPr>
          <w:rFonts w:ascii="Calibri Light" w:eastAsia="AKJZRS+TimesNewRomanPSMT" w:hAnsi="Calibri Light"/>
          <w:bCs/>
          <w:iCs/>
          <w:sz w:val="23"/>
          <w:szCs w:val="23"/>
        </w:rPr>
        <w:t xml:space="preserve"> </w:t>
      </w:r>
      <w:proofErr w:type="spellStart"/>
      <w:r w:rsidRPr="00105B31">
        <w:rPr>
          <w:rFonts w:ascii="Calibri Light" w:eastAsia="AKJZRS+TimesNewRomanPSMT" w:hAnsi="Calibri Light"/>
          <w:bCs/>
          <w:iCs/>
          <w:sz w:val="23"/>
          <w:szCs w:val="23"/>
        </w:rPr>
        <w:t>Oncol</w:t>
      </w:r>
      <w:proofErr w:type="spellEnd"/>
      <w:r w:rsidRPr="00105B31">
        <w:rPr>
          <w:rFonts w:ascii="Calibri Light" w:eastAsia="AKJZRS+TimesNewRomanPSMT" w:hAnsi="Calibri Light"/>
          <w:bCs/>
          <w:iCs/>
          <w:sz w:val="23"/>
          <w:szCs w:val="23"/>
        </w:rPr>
        <w:t>. 2014;9(1):96.]</w:t>
      </w:r>
    </w:p>
    <w:p w14:paraId="25BD1563" w14:textId="77777777" w:rsidR="007C684D" w:rsidRPr="00105B31" w:rsidRDefault="007C684D" w:rsidP="007C684D">
      <w:pPr>
        <w:pStyle w:val="Default"/>
        <w:rPr>
          <w:rFonts w:ascii="Calibri Light" w:eastAsia="AKJZRS+TimesNewRomanPSMT" w:hAnsi="Calibri Light"/>
          <w:sz w:val="23"/>
          <w:szCs w:val="23"/>
        </w:rPr>
      </w:pPr>
      <w:r w:rsidRPr="00105B31">
        <w:rPr>
          <w:rFonts w:ascii="Calibri Light" w:eastAsia="AKJZRS+TimesNewRomanPSMT" w:hAnsi="Calibri Light"/>
          <w:sz w:val="23"/>
          <w:szCs w:val="23"/>
        </w:rPr>
        <w:t>Same cohort of patient as study outlined above (Song et al, 2013). Despite some differences in margins and dose delivered, the lower GI toxicity rates in this study are remarkable when compared to other studies[1],[2],[3].</w:t>
      </w:r>
    </w:p>
    <w:p w14:paraId="61EA2CD6" w14:textId="7E00C8E3" w:rsidR="007C684D" w:rsidRPr="00105B31" w:rsidRDefault="007C684D" w:rsidP="00105B31">
      <w:pPr>
        <w:pStyle w:val="Default"/>
        <w:numPr>
          <w:ilvl w:val="0"/>
          <w:numId w:val="8"/>
        </w:numPr>
        <w:jc w:val="both"/>
        <w:rPr>
          <w:rFonts w:ascii="Calibri Light" w:eastAsia="AKJZRS+TimesNewRomanPSMT" w:hAnsi="Calibri Light"/>
          <w:sz w:val="23"/>
          <w:szCs w:val="23"/>
        </w:rPr>
      </w:pPr>
      <w:r w:rsidRPr="00105B31">
        <w:rPr>
          <w:rFonts w:ascii="Calibri Light" w:eastAsia="AKJZRS+TimesNewRomanPSMT" w:hAnsi="Calibri Light"/>
          <w:sz w:val="23"/>
          <w:szCs w:val="23"/>
        </w:rPr>
        <w:t xml:space="preserve">Of the patients treated 39.6% and 12.5% experienced acute Grade 1 and Grade 2 GI toxicity, respectively. </w:t>
      </w:r>
    </w:p>
    <w:p w14:paraId="6FC6FE95" w14:textId="7F279AFB" w:rsidR="007C684D" w:rsidRPr="00105B31" w:rsidRDefault="007C684D" w:rsidP="00105B31">
      <w:pPr>
        <w:pStyle w:val="Default"/>
        <w:numPr>
          <w:ilvl w:val="0"/>
          <w:numId w:val="8"/>
        </w:numPr>
        <w:jc w:val="both"/>
        <w:rPr>
          <w:rFonts w:ascii="Calibri Light" w:eastAsia="AKJZRS+TimesNewRomanPSMT" w:hAnsi="Calibri Light"/>
          <w:sz w:val="23"/>
          <w:szCs w:val="23"/>
        </w:rPr>
      </w:pPr>
      <w:r w:rsidRPr="00105B31">
        <w:rPr>
          <w:rFonts w:ascii="Calibri Light" w:eastAsia="AKJZRS+TimesNewRomanPSMT" w:hAnsi="Calibri Light"/>
          <w:sz w:val="23"/>
          <w:szCs w:val="23"/>
        </w:rPr>
        <w:t xml:space="preserve">There was no Grade 3 or Grade 4 acute GI toxicity experienced in the study. </w:t>
      </w:r>
    </w:p>
    <w:p w14:paraId="40218919" w14:textId="2D718C64" w:rsidR="007C684D" w:rsidRPr="00105B31" w:rsidRDefault="007C684D" w:rsidP="00105B31">
      <w:pPr>
        <w:pStyle w:val="Default"/>
        <w:numPr>
          <w:ilvl w:val="0"/>
          <w:numId w:val="8"/>
        </w:numPr>
        <w:jc w:val="both"/>
        <w:rPr>
          <w:rFonts w:ascii="Calibri Light" w:eastAsia="AKJZRS+TimesNewRomanPSMT" w:hAnsi="Calibri Light"/>
          <w:sz w:val="23"/>
          <w:szCs w:val="23"/>
        </w:rPr>
      </w:pPr>
      <w:r w:rsidRPr="00105B31">
        <w:rPr>
          <w:rFonts w:ascii="Calibri Light" w:eastAsia="AKJZRS+TimesNewRomanPSMT" w:hAnsi="Calibri Light"/>
          <w:sz w:val="23"/>
          <w:szCs w:val="23"/>
        </w:rPr>
        <w:t xml:space="preserve">Only 4.3% showed late Grade 1 GI toxicity, and there was no late Grade 2 or greater GI toxicity experienced in the study. </w:t>
      </w:r>
    </w:p>
    <w:p w14:paraId="61955E5E" w14:textId="78239FE2" w:rsidR="007C684D" w:rsidRPr="00105B31" w:rsidRDefault="007C684D" w:rsidP="00105B31">
      <w:pPr>
        <w:pStyle w:val="Default"/>
        <w:numPr>
          <w:ilvl w:val="0"/>
          <w:numId w:val="8"/>
        </w:numPr>
        <w:jc w:val="both"/>
        <w:rPr>
          <w:rFonts w:ascii="Calibri Light" w:eastAsia="AKJZRS+TimesNewRomanPSMT" w:hAnsi="Calibri Light"/>
          <w:sz w:val="23"/>
          <w:szCs w:val="23"/>
        </w:rPr>
      </w:pPr>
      <w:r w:rsidRPr="00105B31">
        <w:rPr>
          <w:rFonts w:ascii="Calibri Light" w:eastAsia="AKJZRS+TimesNewRomanPSMT" w:hAnsi="Calibri Light"/>
          <w:sz w:val="23"/>
          <w:szCs w:val="23"/>
        </w:rPr>
        <w:t xml:space="preserve">The </w:t>
      </w:r>
      <w:proofErr w:type="spellStart"/>
      <w:r w:rsidRPr="00105B31">
        <w:rPr>
          <w:rFonts w:ascii="Calibri Light" w:eastAsia="AKJZRS+TimesNewRomanPSMT" w:hAnsi="Calibri Light"/>
          <w:sz w:val="23"/>
          <w:szCs w:val="23"/>
        </w:rPr>
        <w:t>SpaceOAR</w:t>
      </w:r>
      <w:proofErr w:type="spellEnd"/>
      <w:r w:rsidRPr="00105B31">
        <w:rPr>
          <w:rFonts w:ascii="Calibri Light" w:eastAsia="AKJZRS+TimesNewRomanPSMT" w:hAnsi="Calibri Light"/>
          <w:sz w:val="23"/>
          <w:szCs w:val="23"/>
        </w:rPr>
        <w:t xml:space="preserve"> subjects had similar acute and late urinary toxicity as the rates reported in literature.</w:t>
      </w:r>
    </w:p>
    <w:p w14:paraId="3A5237A2" w14:textId="09B98CDA" w:rsidR="007C684D" w:rsidRPr="00105B31" w:rsidRDefault="007C684D" w:rsidP="00105B31">
      <w:pPr>
        <w:pStyle w:val="Default"/>
        <w:numPr>
          <w:ilvl w:val="0"/>
          <w:numId w:val="8"/>
        </w:numPr>
        <w:jc w:val="both"/>
        <w:rPr>
          <w:rFonts w:ascii="Calibri Light" w:eastAsia="AKJZRS+TimesNewRomanPSMT" w:hAnsi="Calibri Light"/>
          <w:sz w:val="23"/>
          <w:szCs w:val="23"/>
        </w:rPr>
      </w:pPr>
      <w:r w:rsidRPr="00105B31">
        <w:rPr>
          <w:rFonts w:ascii="Calibri Light" w:eastAsia="AKJZRS+TimesNewRomanPSMT" w:hAnsi="Calibri Light"/>
          <w:sz w:val="23"/>
          <w:szCs w:val="23"/>
        </w:rPr>
        <w:t>This was expected as rectal spacers are not intended to impact GU toxicity.</w:t>
      </w:r>
    </w:p>
    <w:p w14:paraId="7F2D0283" w14:textId="2E5D4277" w:rsidR="007C684D" w:rsidRPr="00105B31" w:rsidRDefault="007C684D" w:rsidP="00105B31">
      <w:pPr>
        <w:pStyle w:val="Default"/>
        <w:numPr>
          <w:ilvl w:val="0"/>
          <w:numId w:val="8"/>
        </w:numPr>
        <w:jc w:val="both"/>
        <w:rPr>
          <w:rFonts w:ascii="Calibri Light" w:eastAsia="AKJZRS+TimesNewRomanPSMT" w:hAnsi="Calibri Light"/>
          <w:sz w:val="23"/>
          <w:szCs w:val="23"/>
        </w:rPr>
      </w:pPr>
      <w:r w:rsidRPr="00105B31">
        <w:rPr>
          <w:rFonts w:ascii="Calibri Light" w:eastAsia="AKJZRS+TimesNewRomanPSMT" w:hAnsi="Calibri Light"/>
          <w:sz w:val="23"/>
          <w:szCs w:val="23"/>
        </w:rPr>
        <w:t>A total of 41.7%, 35.4% and 2.1% of the men experienced acute Grade 1, Grade 2 and Grade 3 GU toxicity, respectively. No Grade 4 GU toxicity experienced in the study.</w:t>
      </w:r>
    </w:p>
    <w:p w14:paraId="7CC6526C" w14:textId="4ACB9CB5" w:rsidR="007C684D" w:rsidRPr="00105B31" w:rsidRDefault="007C684D" w:rsidP="00105B31">
      <w:pPr>
        <w:pStyle w:val="Default"/>
        <w:numPr>
          <w:ilvl w:val="0"/>
          <w:numId w:val="8"/>
        </w:numPr>
        <w:jc w:val="both"/>
        <w:rPr>
          <w:rFonts w:ascii="Calibri Light" w:eastAsia="AKJZRS+TimesNewRomanPSMT" w:hAnsi="Calibri Light"/>
          <w:sz w:val="23"/>
          <w:szCs w:val="23"/>
        </w:rPr>
      </w:pPr>
      <w:r w:rsidRPr="00105B31">
        <w:rPr>
          <w:rFonts w:ascii="Calibri Light" w:eastAsia="AKJZRS+TimesNewRomanPSMT" w:hAnsi="Calibri Light"/>
          <w:sz w:val="23"/>
          <w:szCs w:val="23"/>
        </w:rPr>
        <w:t>Late Grade 1 and Grade 2 GU toxicity was experienced in 17.0% and 2.1% of the patients, respectively. No late Grade 3 or greater GU toxicity experienced in the study.</w:t>
      </w:r>
    </w:p>
    <w:p w14:paraId="5F54FCBB" w14:textId="00479E8E" w:rsidR="007C684D" w:rsidRPr="00105B31" w:rsidRDefault="007C684D" w:rsidP="00105B31">
      <w:pPr>
        <w:pStyle w:val="Default"/>
        <w:numPr>
          <w:ilvl w:val="0"/>
          <w:numId w:val="8"/>
        </w:numPr>
        <w:jc w:val="both"/>
        <w:rPr>
          <w:rFonts w:ascii="Calibri Light" w:eastAsia="AKJZRS+TimesNewRomanPSMT" w:hAnsi="Calibri Light"/>
          <w:sz w:val="23"/>
          <w:szCs w:val="23"/>
        </w:rPr>
      </w:pPr>
      <w:r w:rsidRPr="00105B31">
        <w:rPr>
          <w:rFonts w:ascii="Calibri Light" w:eastAsia="AKJZRS+TimesNewRomanPSMT" w:hAnsi="Calibri Light"/>
          <w:sz w:val="23"/>
          <w:szCs w:val="23"/>
        </w:rPr>
        <w:t xml:space="preserve">71% of the patients had a Vienna </w:t>
      </w:r>
      <w:proofErr w:type="spellStart"/>
      <w:r w:rsidRPr="00105B31">
        <w:rPr>
          <w:rFonts w:ascii="Calibri Light" w:eastAsia="AKJZRS+TimesNewRomanPSMT" w:hAnsi="Calibri Light"/>
          <w:sz w:val="23"/>
          <w:szCs w:val="23"/>
        </w:rPr>
        <w:t>Rectoscopy</w:t>
      </w:r>
      <w:proofErr w:type="spellEnd"/>
      <w:r w:rsidRPr="00105B31">
        <w:rPr>
          <w:rFonts w:ascii="Calibri Light" w:eastAsia="AKJZRS+TimesNewRomanPSMT" w:hAnsi="Calibri Light"/>
          <w:sz w:val="23"/>
          <w:szCs w:val="23"/>
        </w:rPr>
        <w:t xml:space="preserve"> Scale (VRS) score of 0, and one patient (2%) had Grade 3 </w:t>
      </w:r>
      <w:proofErr w:type="spellStart"/>
      <w:r w:rsidRPr="00105B31">
        <w:rPr>
          <w:rFonts w:ascii="Calibri Light" w:eastAsia="AKJZRS+TimesNewRomanPSMT" w:hAnsi="Calibri Light"/>
          <w:sz w:val="23"/>
          <w:szCs w:val="23"/>
        </w:rPr>
        <w:t>teleangiectasia</w:t>
      </w:r>
      <w:proofErr w:type="spellEnd"/>
      <w:r w:rsidRPr="00105B31">
        <w:rPr>
          <w:rFonts w:ascii="Calibri Light" w:eastAsia="AKJZRS+TimesNewRomanPSMT" w:hAnsi="Calibri Light"/>
          <w:sz w:val="23"/>
          <w:szCs w:val="23"/>
        </w:rPr>
        <w:t xml:space="preserve">. </w:t>
      </w:r>
    </w:p>
    <w:p w14:paraId="5A7089BE" w14:textId="569A560C" w:rsidR="007C684D" w:rsidRPr="00105B31" w:rsidRDefault="007C684D" w:rsidP="00105B31">
      <w:pPr>
        <w:pStyle w:val="Default"/>
        <w:numPr>
          <w:ilvl w:val="0"/>
          <w:numId w:val="8"/>
        </w:numPr>
        <w:jc w:val="both"/>
        <w:rPr>
          <w:rFonts w:ascii="Calibri Light" w:eastAsia="AKJZRS+TimesNewRomanPSMT" w:hAnsi="Calibri Light"/>
          <w:sz w:val="23"/>
          <w:szCs w:val="23"/>
        </w:rPr>
      </w:pPr>
      <w:r w:rsidRPr="00105B31">
        <w:rPr>
          <w:rFonts w:ascii="Calibri Light" w:eastAsia="AKJZRS+TimesNewRomanPSMT" w:hAnsi="Calibri Light"/>
          <w:sz w:val="23"/>
          <w:szCs w:val="23"/>
        </w:rPr>
        <w:t>There was no evidence of ulceration, stricture or necrosis at 12 months.</w:t>
      </w:r>
    </w:p>
    <w:p w14:paraId="7CAAE385" w14:textId="0537FB63" w:rsidR="0003149B" w:rsidRPr="00DC1011" w:rsidRDefault="007C684D" w:rsidP="007C684D">
      <w:pPr>
        <w:pStyle w:val="Default"/>
        <w:numPr>
          <w:ilvl w:val="0"/>
          <w:numId w:val="8"/>
        </w:numPr>
        <w:jc w:val="both"/>
        <w:rPr>
          <w:rFonts w:ascii="Calibri Light" w:eastAsia="AKJZRS+TimesNewRomanPSMT" w:hAnsi="Calibri Light"/>
          <w:sz w:val="23"/>
          <w:szCs w:val="23"/>
        </w:rPr>
      </w:pPr>
      <w:r w:rsidRPr="00105B31">
        <w:rPr>
          <w:rFonts w:ascii="Calibri Light" w:eastAsia="AKJZRS+TimesNewRomanPSMT" w:hAnsi="Calibri Light"/>
          <w:sz w:val="23"/>
          <w:szCs w:val="23"/>
        </w:rPr>
        <w:t>Conclusion:</w:t>
      </w:r>
      <w:r w:rsidR="0055579A" w:rsidRPr="00105B31">
        <w:rPr>
          <w:rFonts w:ascii="Calibri Light" w:eastAsia="AKJZRS+TimesNewRomanPSMT" w:hAnsi="Calibri Light"/>
          <w:sz w:val="23"/>
          <w:szCs w:val="23"/>
        </w:rPr>
        <w:t xml:space="preserve"> t</w:t>
      </w:r>
      <w:r w:rsidRPr="00105B31">
        <w:rPr>
          <w:rFonts w:ascii="Calibri Light" w:eastAsia="AKJZRS+TimesNewRomanPSMT" w:hAnsi="Calibri Light"/>
          <w:sz w:val="23"/>
          <w:szCs w:val="23"/>
        </w:rPr>
        <w:t xml:space="preserve">he use of PEG spacer hydrogel is a safe and effective method to spare the rectum from higher dose and toxicity. </w:t>
      </w:r>
    </w:p>
    <w:p w14:paraId="0C4213F3" w14:textId="77777777" w:rsidR="0003149B" w:rsidRPr="00105B31" w:rsidRDefault="0003149B" w:rsidP="007C684D">
      <w:pPr>
        <w:pStyle w:val="Default"/>
        <w:rPr>
          <w:rFonts w:ascii="Calibri Light" w:eastAsia="AKJZRS+TimesNewRomanPSMT" w:hAnsi="Calibri Light"/>
          <w:sz w:val="23"/>
          <w:szCs w:val="23"/>
        </w:rPr>
      </w:pPr>
    </w:p>
    <w:p w14:paraId="0464F433" w14:textId="77777777" w:rsidR="0003149B" w:rsidRPr="00105B31" w:rsidRDefault="0003149B" w:rsidP="0003149B">
      <w:pPr>
        <w:autoSpaceDE w:val="0"/>
        <w:autoSpaceDN w:val="0"/>
        <w:adjustRightInd w:val="0"/>
        <w:spacing w:after="0" w:line="240" w:lineRule="auto"/>
        <w:rPr>
          <w:rFonts w:ascii="Calibri Light" w:hAnsi="Calibri Light"/>
          <w:sz w:val="23"/>
          <w:szCs w:val="23"/>
          <w:lang w:val="en"/>
        </w:rPr>
      </w:pPr>
      <w:proofErr w:type="spellStart"/>
      <w:r w:rsidRPr="00105B31">
        <w:rPr>
          <w:rFonts w:ascii="Calibri Light" w:hAnsi="Calibri Light"/>
          <w:b/>
          <w:sz w:val="23"/>
          <w:szCs w:val="23"/>
          <w:lang w:val="en"/>
        </w:rPr>
        <w:t>Pinkawa</w:t>
      </w:r>
      <w:proofErr w:type="spellEnd"/>
      <w:r w:rsidRPr="00105B31">
        <w:rPr>
          <w:rFonts w:ascii="Calibri Light" w:hAnsi="Calibri Light"/>
          <w:b/>
          <w:sz w:val="23"/>
          <w:szCs w:val="23"/>
          <w:lang w:val="en"/>
        </w:rPr>
        <w:t xml:space="preserve"> M, et al.</w:t>
      </w:r>
      <w:r w:rsidRPr="00105B31">
        <w:rPr>
          <w:rFonts w:ascii="Calibri Light" w:hAnsi="Calibri Light"/>
          <w:sz w:val="23"/>
          <w:szCs w:val="23"/>
          <w:lang w:val="en"/>
        </w:rPr>
        <w:t xml:space="preserve"> </w:t>
      </w:r>
      <w:r w:rsidRPr="00105B31">
        <w:rPr>
          <w:rFonts w:ascii="Calibri Light" w:hAnsi="Calibri Light"/>
          <w:b/>
          <w:i/>
          <w:sz w:val="23"/>
          <w:szCs w:val="23"/>
          <w:lang w:val="en"/>
        </w:rPr>
        <w:t xml:space="preserve">Hydrogel injection reduces rectal toxicity after radiotherapy for localized prostate cancer </w:t>
      </w:r>
      <w:r w:rsidRPr="00105B31">
        <w:rPr>
          <w:rFonts w:ascii="Calibri Light" w:hAnsi="Calibri Light"/>
          <w:sz w:val="23"/>
          <w:szCs w:val="23"/>
          <w:lang w:val="en"/>
        </w:rPr>
        <w:t>[</w:t>
      </w:r>
      <w:proofErr w:type="spellStart"/>
      <w:r w:rsidRPr="00105B31">
        <w:rPr>
          <w:rFonts w:ascii="Calibri Light" w:hAnsi="Calibri Light" w:cs="AdvGulliv-R"/>
          <w:sz w:val="23"/>
          <w:szCs w:val="23"/>
        </w:rPr>
        <w:t>Strahlenther</w:t>
      </w:r>
      <w:proofErr w:type="spellEnd"/>
      <w:r w:rsidRPr="00105B31">
        <w:rPr>
          <w:rFonts w:ascii="Calibri Light" w:hAnsi="Calibri Light" w:cs="AdvGulliv-R"/>
          <w:sz w:val="23"/>
          <w:szCs w:val="23"/>
        </w:rPr>
        <w:t xml:space="preserve"> </w:t>
      </w:r>
      <w:proofErr w:type="spellStart"/>
      <w:r w:rsidRPr="00105B31">
        <w:rPr>
          <w:rFonts w:ascii="Calibri Light" w:hAnsi="Calibri Light" w:cs="AdvGulliv-R"/>
          <w:sz w:val="23"/>
          <w:szCs w:val="23"/>
        </w:rPr>
        <w:t>Onkol</w:t>
      </w:r>
      <w:proofErr w:type="spellEnd"/>
      <w:r w:rsidRPr="00105B31">
        <w:rPr>
          <w:rFonts w:ascii="Calibri Light" w:hAnsi="Calibri Light" w:cs="AdvGulliv-R"/>
          <w:sz w:val="23"/>
          <w:szCs w:val="23"/>
        </w:rPr>
        <w:t xml:space="preserve"> (2016), doi:10.1007/s00066-016-1040-6]</w:t>
      </w:r>
    </w:p>
    <w:p w14:paraId="2FF8EC45" w14:textId="77777777" w:rsidR="0003149B" w:rsidRPr="00105B31" w:rsidRDefault="0003149B" w:rsidP="0003149B">
      <w:pPr>
        <w:pStyle w:val="Default"/>
        <w:rPr>
          <w:rFonts w:ascii="Calibri Light" w:hAnsi="Calibri Light"/>
          <w:color w:val="333333"/>
          <w:sz w:val="23"/>
          <w:szCs w:val="23"/>
          <w:lang w:val="en"/>
        </w:rPr>
      </w:pPr>
      <w:r w:rsidRPr="00105B31">
        <w:rPr>
          <w:rFonts w:ascii="Calibri Light" w:hAnsi="Calibri Light"/>
          <w:color w:val="333333"/>
          <w:sz w:val="23"/>
          <w:szCs w:val="23"/>
          <w:lang w:val="en"/>
        </w:rPr>
        <w:t xml:space="preserve">A group of 167 consecutive patients who received prostate radiotherapy during the years 2010 to 2013. </w:t>
      </w:r>
    </w:p>
    <w:p w14:paraId="7B8CDF31" w14:textId="35473678" w:rsidR="0003149B" w:rsidRPr="00105B31" w:rsidRDefault="0003149B" w:rsidP="00105B31">
      <w:pPr>
        <w:pStyle w:val="Default"/>
        <w:numPr>
          <w:ilvl w:val="0"/>
          <w:numId w:val="7"/>
        </w:numPr>
        <w:jc w:val="both"/>
        <w:rPr>
          <w:rFonts w:ascii="Calibri Light" w:eastAsia="AKJZRS+TimesNewRomanPSMT" w:hAnsi="Calibri Light"/>
          <w:sz w:val="23"/>
          <w:szCs w:val="23"/>
        </w:rPr>
      </w:pPr>
      <w:r w:rsidRPr="00105B31">
        <w:rPr>
          <w:rFonts w:ascii="Calibri Light" w:eastAsia="AKJZRS+TimesNewRomanPSMT" w:hAnsi="Calibri Light"/>
          <w:sz w:val="23"/>
          <w:szCs w:val="23"/>
        </w:rPr>
        <w:t xml:space="preserve">Patients were treated with 2-Gy fractions up to 76 </w:t>
      </w:r>
      <w:proofErr w:type="spellStart"/>
      <w:r w:rsidRPr="00105B31">
        <w:rPr>
          <w:rFonts w:ascii="Calibri Light" w:eastAsia="AKJZRS+TimesNewRomanPSMT" w:hAnsi="Calibri Light"/>
          <w:sz w:val="23"/>
          <w:szCs w:val="23"/>
        </w:rPr>
        <w:t>Gy</w:t>
      </w:r>
      <w:proofErr w:type="spellEnd"/>
      <w:r w:rsidRPr="00105B31">
        <w:rPr>
          <w:rFonts w:ascii="Calibri Light" w:eastAsia="AKJZRS+TimesNewRomanPSMT" w:hAnsi="Calibri Light"/>
          <w:sz w:val="23"/>
          <w:szCs w:val="23"/>
        </w:rPr>
        <w:t xml:space="preserve"> (without hydrogel, n=66) or 76-80 </w:t>
      </w:r>
      <w:proofErr w:type="spellStart"/>
      <w:r w:rsidRPr="00105B31">
        <w:rPr>
          <w:rFonts w:ascii="Calibri Light" w:eastAsia="AKJZRS+TimesNewRomanPSMT" w:hAnsi="Calibri Light"/>
          <w:sz w:val="23"/>
          <w:szCs w:val="23"/>
        </w:rPr>
        <w:t>Gy</w:t>
      </w:r>
      <w:proofErr w:type="spellEnd"/>
      <w:r w:rsidRPr="00105B31">
        <w:rPr>
          <w:rFonts w:ascii="Calibri Light" w:eastAsia="AKJZRS+TimesNewRomanPSMT" w:hAnsi="Calibri Light"/>
          <w:sz w:val="23"/>
          <w:szCs w:val="23"/>
        </w:rPr>
        <w:t xml:space="preserve"> (with hydrogel, n=101) </w:t>
      </w:r>
    </w:p>
    <w:p w14:paraId="665B499E" w14:textId="08016DE4" w:rsidR="0003149B" w:rsidRPr="00105B31" w:rsidRDefault="0003149B" w:rsidP="00105B31">
      <w:pPr>
        <w:pStyle w:val="Default"/>
        <w:numPr>
          <w:ilvl w:val="0"/>
          <w:numId w:val="7"/>
        </w:numPr>
        <w:jc w:val="both"/>
        <w:rPr>
          <w:rFonts w:ascii="Calibri Light" w:hAnsi="Calibri Light"/>
          <w:color w:val="333333"/>
          <w:sz w:val="23"/>
          <w:szCs w:val="23"/>
          <w:lang w:val="en"/>
        </w:rPr>
      </w:pPr>
      <w:r w:rsidRPr="00105B31">
        <w:rPr>
          <w:rFonts w:ascii="Calibri Light" w:hAnsi="Calibri Light"/>
          <w:color w:val="333333"/>
          <w:sz w:val="23"/>
          <w:szCs w:val="23"/>
          <w:lang w:val="en"/>
        </w:rPr>
        <w:t xml:space="preserve">The numbers of interventions resulting from bowel problems during the first 2 years after RT were compared. </w:t>
      </w:r>
    </w:p>
    <w:p w14:paraId="5724251D" w14:textId="39E18491" w:rsidR="0003149B" w:rsidRPr="00105B31" w:rsidRDefault="0003149B" w:rsidP="00105B31">
      <w:pPr>
        <w:pStyle w:val="Default"/>
        <w:numPr>
          <w:ilvl w:val="0"/>
          <w:numId w:val="7"/>
        </w:numPr>
        <w:jc w:val="both"/>
        <w:rPr>
          <w:rFonts w:ascii="Calibri Light" w:hAnsi="Calibri Light"/>
          <w:color w:val="333333"/>
          <w:sz w:val="23"/>
          <w:szCs w:val="23"/>
          <w:lang w:val="en"/>
        </w:rPr>
      </w:pPr>
      <w:r w:rsidRPr="00105B31">
        <w:rPr>
          <w:rFonts w:ascii="Calibri Light" w:hAnsi="Calibri Light"/>
          <w:color w:val="333333"/>
          <w:sz w:val="23"/>
          <w:szCs w:val="23"/>
          <w:lang w:val="en"/>
        </w:rPr>
        <w:t xml:space="preserve">Patients were surveyed prospectively before RT, at the end of RT, and a median time of 2 months and 17 months after RT using the EPIC questionnaire. </w:t>
      </w:r>
    </w:p>
    <w:p w14:paraId="20B0A6E6" w14:textId="1BA7861F" w:rsidR="0003149B" w:rsidRPr="00105B31" w:rsidRDefault="0003149B" w:rsidP="00105B31">
      <w:pPr>
        <w:pStyle w:val="Default"/>
        <w:numPr>
          <w:ilvl w:val="0"/>
          <w:numId w:val="7"/>
        </w:numPr>
        <w:jc w:val="both"/>
        <w:rPr>
          <w:rFonts w:ascii="Calibri Light" w:hAnsi="Calibri Light"/>
          <w:color w:val="333333"/>
          <w:sz w:val="23"/>
          <w:szCs w:val="23"/>
          <w:lang w:val="en"/>
        </w:rPr>
      </w:pPr>
      <w:r w:rsidRPr="00105B31">
        <w:rPr>
          <w:rFonts w:ascii="Calibri Light" w:hAnsi="Calibri Light"/>
          <w:color w:val="333333"/>
          <w:sz w:val="23"/>
          <w:szCs w:val="23"/>
          <w:lang w:val="en"/>
        </w:rPr>
        <w:t>Treatment for bowel symptoms (0 vs. 11%; p&lt;0.01) and endoscopic examinations (3 vs. 19%; p&lt;0.01) were performed less frequently with a spacer.</w:t>
      </w:r>
    </w:p>
    <w:p w14:paraId="33FF8578" w14:textId="04D105C4" w:rsidR="0003149B" w:rsidRPr="00105B31" w:rsidRDefault="0003149B" w:rsidP="00105B31">
      <w:pPr>
        <w:pStyle w:val="Default"/>
        <w:numPr>
          <w:ilvl w:val="0"/>
          <w:numId w:val="7"/>
        </w:numPr>
        <w:jc w:val="both"/>
        <w:rPr>
          <w:rFonts w:ascii="Calibri Light" w:hAnsi="Calibri Light"/>
          <w:color w:val="333333"/>
          <w:sz w:val="23"/>
          <w:szCs w:val="23"/>
          <w:lang w:val="en"/>
        </w:rPr>
      </w:pPr>
      <w:r w:rsidRPr="00105B31">
        <w:rPr>
          <w:rFonts w:ascii="Calibri Light" w:hAnsi="Calibri Light"/>
          <w:color w:val="333333"/>
          <w:sz w:val="23"/>
          <w:szCs w:val="23"/>
          <w:lang w:val="en"/>
        </w:rPr>
        <w:t>Despite the Spacer patients receiving higher prescription doses, at &gt;1 year after RT: mean bowel function scores in comparison to baseline did not change for patients with a spacer (mean change of 0 points) in contrast to patients without a spacer (mean decrease of 5 points) with 0 vs. 12% reporting a new moderate/big problem with passing stools (p&lt;0.01)</w:t>
      </w:r>
    </w:p>
    <w:p w14:paraId="6CB0241C" w14:textId="61D6F403" w:rsidR="0003149B" w:rsidRPr="00105B31" w:rsidRDefault="0003149B" w:rsidP="00105B31">
      <w:pPr>
        <w:pStyle w:val="Default"/>
        <w:numPr>
          <w:ilvl w:val="0"/>
          <w:numId w:val="7"/>
        </w:numPr>
        <w:jc w:val="both"/>
        <w:rPr>
          <w:rFonts w:ascii="Calibri Light" w:hAnsi="Calibri Light"/>
          <w:color w:val="333333"/>
          <w:sz w:val="23"/>
          <w:szCs w:val="23"/>
          <w:lang w:val="en"/>
        </w:rPr>
      </w:pPr>
      <w:r w:rsidRPr="00105B31">
        <w:rPr>
          <w:rFonts w:ascii="Calibri Light" w:hAnsi="Calibri Light"/>
          <w:color w:val="333333"/>
          <w:sz w:val="23"/>
          <w:szCs w:val="23"/>
          <w:lang w:val="en"/>
        </w:rPr>
        <w:t>Statistically significant differences were found for the items “loose stools,” “bloody stools,” “painful bowel movements” and “frequency of bowel movements”</w:t>
      </w:r>
    </w:p>
    <w:p w14:paraId="7402A088" w14:textId="6E4E8521" w:rsidR="0003149B" w:rsidRPr="00105B31" w:rsidRDefault="0003149B" w:rsidP="007C684D">
      <w:pPr>
        <w:pStyle w:val="Default"/>
        <w:jc w:val="both"/>
        <w:rPr>
          <w:rFonts w:ascii="Calibri Light" w:eastAsia="AKJZRS+TimesNewRomanPSMT" w:hAnsi="Calibri Light"/>
          <w:b/>
          <w:bCs/>
          <w:sz w:val="23"/>
          <w:szCs w:val="23"/>
        </w:rPr>
      </w:pPr>
    </w:p>
    <w:p w14:paraId="120D04CE" w14:textId="15CABCC0" w:rsidR="003409B0" w:rsidRPr="00105B31" w:rsidRDefault="003409B0" w:rsidP="00105B31">
      <w:pPr>
        <w:pStyle w:val="Default"/>
        <w:jc w:val="both"/>
        <w:rPr>
          <w:rFonts w:ascii="Calibri Light" w:hAnsi="Calibri Light"/>
          <w:color w:val="333333"/>
          <w:sz w:val="23"/>
          <w:szCs w:val="23"/>
          <w:lang w:val="en"/>
        </w:rPr>
      </w:pPr>
      <w:proofErr w:type="spellStart"/>
      <w:r w:rsidRPr="00105B31">
        <w:rPr>
          <w:rFonts w:ascii="Calibri Light" w:hAnsi="Calibri Light"/>
          <w:b/>
          <w:color w:val="333333"/>
          <w:sz w:val="23"/>
          <w:szCs w:val="23"/>
          <w:lang w:val="en"/>
        </w:rPr>
        <w:t>Te</w:t>
      </w:r>
      <w:proofErr w:type="spellEnd"/>
      <w:r w:rsidRPr="00105B31">
        <w:rPr>
          <w:rFonts w:ascii="Calibri Light" w:hAnsi="Calibri Light"/>
          <w:b/>
          <w:color w:val="333333"/>
          <w:sz w:val="23"/>
          <w:szCs w:val="23"/>
          <w:lang w:val="en"/>
        </w:rPr>
        <w:t xml:space="preserve"> Velde</w:t>
      </w:r>
      <w:r w:rsidR="004109D2" w:rsidRPr="00105B31">
        <w:rPr>
          <w:rFonts w:ascii="Calibri Light" w:hAnsi="Calibri Light"/>
          <w:b/>
          <w:color w:val="333333"/>
          <w:sz w:val="23"/>
          <w:szCs w:val="23"/>
          <w:lang w:val="en"/>
        </w:rPr>
        <w:t xml:space="preserve"> B.L.</w:t>
      </w:r>
      <w:r w:rsidRPr="00105B31">
        <w:rPr>
          <w:rFonts w:ascii="Calibri Light" w:hAnsi="Calibri Light"/>
          <w:b/>
          <w:color w:val="333333"/>
          <w:sz w:val="23"/>
          <w:szCs w:val="23"/>
          <w:lang w:val="en"/>
        </w:rPr>
        <w:t xml:space="preserve">, et al. </w:t>
      </w:r>
      <w:r w:rsidRPr="00105B31">
        <w:rPr>
          <w:rFonts w:ascii="Calibri Light" w:hAnsi="Calibri Light"/>
          <w:b/>
          <w:i/>
          <w:color w:val="333333"/>
          <w:sz w:val="23"/>
          <w:szCs w:val="23"/>
          <w:lang w:val="en"/>
        </w:rPr>
        <w:t xml:space="preserve">Can a peri-rectal hydrogel </w:t>
      </w:r>
      <w:proofErr w:type="spellStart"/>
      <w:r w:rsidRPr="00105B31">
        <w:rPr>
          <w:rFonts w:ascii="Calibri Light" w:hAnsi="Calibri Light"/>
          <w:b/>
          <w:i/>
          <w:color w:val="333333"/>
          <w:sz w:val="23"/>
          <w:szCs w:val="23"/>
          <w:lang w:val="en"/>
        </w:rPr>
        <w:t>SpaceOAR</w:t>
      </w:r>
      <w:proofErr w:type="spellEnd"/>
      <w:r w:rsidRPr="00105B31">
        <w:rPr>
          <w:rFonts w:ascii="Calibri Light" w:hAnsi="Calibri Light"/>
          <w:b/>
          <w:i/>
          <w:color w:val="333333"/>
          <w:sz w:val="23"/>
          <w:szCs w:val="23"/>
          <w:lang w:val="en"/>
        </w:rPr>
        <w:t xml:space="preserve"> </w:t>
      </w:r>
      <w:proofErr w:type="spellStart"/>
      <w:r w:rsidRPr="00105B31">
        <w:rPr>
          <w:rFonts w:ascii="Calibri Light" w:hAnsi="Calibri Light"/>
          <w:b/>
          <w:i/>
          <w:color w:val="333333"/>
          <w:sz w:val="23"/>
          <w:szCs w:val="23"/>
          <w:lang w:val="en"/>
        </w:rPr>
        <w:t>programme</w:t>
      </w:r>
      <w:proofErr w:type="spellEnd"/>
      <w:r w:rsidRPr="00105B31">
        <w:rPr>
          <w:rFonts w:ascii="Calibri Light" w:hAnsi="Calibri Light"/>
          <w:b/>
          <w:i/>
          <w:color w:val="333333"/>
          <w:sz w:val="23"/>
          <w:szCs w:val="23"/>
          <w:lang w:val="en"/>
        </w:rPr>
        <w:t xml:space="preserve"> for prostate cancer intensity-modulated radiotherapy be successfully implemented in a regional setting?</w:t>
      </w:r>
      <w:r w:rsidRPr="00105B31">
        <w:rPr>
          <w:rFonts w:ascii="Calibri Light" w:hAnsi="Calibri Light"/>
          <w:color w:val="333333"/>
          <w:sz w:val="23"/>
          <w:szCs w:val="23"/>
          <w:lang w:val="en"/>
        </w:rPr>
        <w:t xml:space="preserve"> [J Med Imaging </w:t>
      </w:r>
      <w:proofErr w:type="spellStart"/>
      <w:r w:rsidRPr="00105B31">
        <w:rPr>
          <w:rFonts w:ascii="Calibri Light" w:hAnsi="Calibri Light"/>
          <w:color w:val="333333"/>
          <w:sz w:val="23"/>
          <w:szCs w:val="23"/>
          <w:lang w:val="en"/>
        </w:rPr>
        <w:t>Radiat</w:t>
      </w:r>
      <w:proofErr w:type="spellEnd"/>
      <w:r w:rsidRPr="00105B31">
        <w:rPr>
          <w:rFonts w:ascii="Calibri Light" w:hAnsi="Calibri Light"/>
          <w:color w:val="333333"/>
          <w:sz w:val="23"/>
          <w:szCs w:val="23"/>
          <w:lang w:val="en"/>
        </w:rPr>
        <w:t xml:space="preserve"> </w:t>
      </w:r>
      <w:proofErr w:type="spellStart"/>
      <w:r w:rsidRPr="00105B31">
        <w:rPr>
          <w:rFonts w:ascii="Calibri Light" w:hAnsi="Calibri Light"/>
          <w:color w:val="333333"/>
          <w:sz w:val="23"/>
          <w:szCs w:val="23"/>
          <w:lang w:val="en"/>
        </w:rPr>
        <w:t>Oncol</w:t>
      </w:r>
      <w:proofErr w:type="spellEnd"/>
      <w:r w:rsidRPr="00105B31">
        <w:rPr>
          <w:rFonts w:ascii="Calibri Light" w:hAnsi="Calibri Light"/>
          <w:color w:val="333333"/>
          <w:sz w:val="23"/>
          <w:szCs w:val="23"/>
          <w:lang w:val="en"/>
        </w:rPr>
        <w:t>. doi:10.1111/1754-9485.12580]</w:t>
      </w:r>
    </w:p>
    <w:p w14:paraId="1F6FB4E6" w14:textId="2B8E757D" w:rsidR="003409B0" w:rsidRPr="00105B31" w:rsidRDefault="003409B0" w:rsidP="00105B31">
      <w:pPr>
        <w:pStyle w:val="Default"/>
        <w:jc w:val="both"/>
        <w:rPr>
          <w:rFonts w:ascii="Calibri Light" w:hAnsi="Calibri Light"/>
          <w:color w:val="333333"/>
          <w:sz w:val="23"/>
          <w:szCs w:val="23"/>
          <w:lang w:val="en"/>
        </w:rPr>
      </w:pPr>
      <w:r w:rsidRPr="00105B31">
        <w:rPr>
          <w:rFonts w:ascii="Calibri Light" w:hAnsi="Calibri Light"/>
          <w:color w:val="333333"/>
          <w:sz w:val="23"/>
          <w:szCs w:val="23"/>
          <w:lang w:val="en"/>
        </w:rPr>
        <w:t xml:space="preserve">Retrospective study, 125 patients with localized prostate cancer treated between April 2014 and June 2015 were compared: 65 treated with </w:t>
      </w:r>
      <w:proofErr w:type="spellStart"/>
      <w:r w:rsidRPr="00105B31">
        <w:rPr>
          <w:rFonts w:ascii="Calibri Light" w:hAnsi="Calibri Light"/>
          <w:color w:val="333333"/>
          <w:sz w:val="23"/>
          <w:szCs w:val="23"/>
          <w:lang w:val="en"/>
        </w:rPr>
        <w:t>SpaceOAR</w:t>
      </w:r>
      <w:proofErr w:type="spellEnd"/>
      <w:r w:rsidRPr="00105B31">
        <w:rPr>
          <w:rFonts w:ascii="Calibri Light" w:hAnsi="Calibri Light"/>
          <w:color w:val="333333"/>
          <w:sz w:val="23"/>
          <w:szCs w:val="23"/>
          <w:lang w:val="en"/>
        </w:rPr>
        <w:t xml:space="preserve"> and 60 treated over the same time period without </w:t>
      </w:r>
      <w:proofErr w:type="spellStart"/>
      <w:r w:rsidRPr="00105B31">
        <w:rPr>
          <w:rFonts w:ascii="Calibri Light" w:hAnsi="Calibri Light"/>
          <w:color w:val="333333"/>
          <w:sz w:val="23"/>
          <w:szCs w:val="23"/>
          <w:lang w:val="en"/>
        </w:rPr>
        <w:t>SpaceOAR</w:t>
      </w:r>
      <w:proofErr w:type="spellEnd"/>
      <w:r w:rsidRPr="00105B31">
        <w:rPr>
          <w:rFonts w:ascii="Calibri Light" w:hAnsi="Calibri Light"/>
          <w:color w:val="333333"/>
          <w:sz w:val="23"/>
          <w:szCs w:val="23"/>
          <w:lang w:val="en"/>
        </w:rPr>
        <w:t xml:space="preserve">. </w:t>
      </w:r>
    </w:p>
    <w:p w14:paraId="133E0F0F" w14:textId="4ECA9AB6" w:rsidR="003409B0" w:rsidRPr="00105B31" w:rsidRDefault="003409B0" w:rsidP="00105B31">
      <w:pPr>
        <w:pStyle w:val="Default"/>
        <w:numPr>
          <w:ilvl w:val="0"/>
          <w:numId w:val="6"/>
        </w:numPr>
        <w:jc w:val="both"/>
        <w:rPr>
          <w:rFonts w:ascii="Calibri Light" w:hAnsi="Calibri Light"/>
          <w:color w:val="333333"/>
          <w:sz w:val="23"/>
          <w:szCs w:val="23"/>
          <w:lang w:val="en"/>
        </w:rPr>
      </w:pPr>
      <w:r w:rsidRPr="00105B31">
        <w:rPr>
          <w:rFonts w:ascii="Calibri Light" w:hAnsi="Calibri Light"/>
          <w:color w:val="333333"/>
          <w:sz w:val="23"/>
          <w:szCs w:val="23"/>
          <w:lang w:val="en"/>
        </w:rPr>
        <w:t>Patients were treated with 81Gy in 45 fractions of IMRT over 9 weeks</w:t>
      </w:r>
    </w:p>
    <w:p w14:paraId="4D9E2044" w14:textId="67ABB862" w:rsidR="003409B0" w:rsidRPr="00105B31" w:rsidRDefault="003409B0" w:rsidP="00105B31">
      <w:pPr>
        <w:pStyle w:val="Default"/>
        <w:numPr>
          <w:ilvl w:val="0"/>
          <w:numId w:val="6"/>
        </w:numPr>
        <w:jc w:val="both"/>
        <w:rPr>
          <w:rFonts w:ascii="Calibri Light" w:hAnsi="Calibri Light"/>
          <w:color w:val="333333"/>
          <w:sz w:val="23"/>
          <w:szCs w:val="23"/>
          <w:lang w:val="en"/>
        </w:rPr>
      </w:pPr>
      <w:r w:rsidRPr="00105B31">
        <w:rPr>
          <w:rFonts w:ascii="Calibri Light" w:hAnsi="Calibri Light"/>
          <w:color w:val="333333"/>
          <w:sz w:val="23"/>
          <w:szCs w:val="23"/>
          <w:lang w:val="en"/>
        </w:rPr>
        <w:t xml:space="preserve">Acute toxicity was assessed </w:t>
      </w:r>
      <w:r w:rsidR="004109D2" w:rsidRPr="00105B31">
        <w:rPr>
          <w:rFonts w:ascii="Calibri Light" w:hAnsi="Calibri Light"/>
          <w:color w:val="333333"/>
          <w:sz w:val="23"/>
          <w:szCs w:val="23"/>
          <w:lang w:val="en"/>
        </w:rPr>
        <w:t>weekly during radiotherapy and at 12 weeks</w:t>
      </w:r>
    </w:p>
    <w:p w14:paraId="41CD63D7" w14:textId="6E3BCEA3" w:rsidR="004109D2" w:rsidRPr="00105B31" w:rsidRDefault="004109D2" w:rsidP="00105B31">
      <w:pPr>
        <w:pStyle w:val="Default"/>
        <w:numPr>
          <w:ilvl w:val="0"/>
          <w:numId w:val="6"/>
        </w:numPr>
        <w:jc w:val="both"/>
        <w:rPr>
          <w:rFonts w:ascii="Calibri Light" w:hAnsi="Calibri Light"/>
          <w:color w:val="333333"/>
          <w:sz w:val="23"/>
          <w:szCs w:val="23"/>
          <w:lang w:val="en"/>
        </w:rPr>
      </w:pPr>
      <w:r w:rsidRPr="00105B31">
        <w:rPr>
          <w:rFonts w:ascii="Calibri Light" w:hAnsi="Calibri Light"/>
          <w:color w:val="333333"/>
          <w:sz w:val="23"/>
          <w:szCs w:val="23"/>
          <w:lang w:val="en"/>
        </w:rPr>
        <w:lastRenderedPageBreak/>
        <w:t xml:space="preserve">Rectal volume parameters were all significantly lower in the </w:t>
      </w:r>
      <w:proofErr w:type="spellStart"/>
      <w:r w:rsidRPr="00105B31">
        <w:rPr>
          <w:rFonts w:ascii="Calibri Light" w:hAnsi="Calibri Light"/>
          <w:color w:val="333333"/>
          <w:sz w:val="23"/>
          <w:szCs w:val="23"/>
          <w:lang w:val="en"/>
        </w:rPr>
        <w:t>SpaceOAR</w:t>
      </w:r>
      <w:proofErr w:type="spellEnd"/>
      <w:r w:rsidRPr="00105B31">
        <w:rPr>
          <w:rFonts w:ascii="Calibri Light" w:hAnsi="Calibri Light"/>
          <w:color w:val="333333"/>
          <w:sz w:val="23"/>
          <w:szCs w:val="23"/>
          <w:lang w:val="en"/>
        </w:rPr>
        <w:t xml:space="preserve"> group, with an associated reduction in acute diarrhea (13.8% vs. 31.7%, p=0.02)</w:t>
      </w:r>
    </w:p>
    <w:p w14:paraId="07732560" w14:textId="60331177" w:rsidR="004109D2" w:rsidRPr="00105B31" w:rsidRDefault="004109D2" w:rsidP="00105B31">
      <w:pPr>
        <w:pStyle w:val="Default"/>
        <w:numPr>
          <w:ilvl w:val="0"/>
          <w:numId w:val="6"/>
        </w:numPr>
        <w:jc w:val="both"/>
        <w:rPr>
          <w:rFonts w:ascii="Calibri Light" w:hAnsi="Calibri Light"/>
          <w:color w:val="333333"/>
          <w:sz w:val="23"/>
          <w:szCs w:val="23"/>
          <w:lang w:val="en"/>
        </w:rPr>
      </w:pPr>
      <w:r w:rsidRPr="00105B31">
        <w:rPr>
          <w:rFonts w:ascii="Calibri Light" w:hAnsi="Calibri Light"/>
          <w:color w:val="333333"/>
          <w:sz w:val="23"/>
          <w:szCs w:val="23"/>
          <w:lang w:val="en"/>
        </w:rPr>
        <w:t xml:space="preserve">Conclusion: a </w:t>
      </w:r>
      <w:proofErr w:type="spellStart"/>
      <w:r w:rsidRPr="00105B31">
        <w:rPr>
          <w:rFonts w:ascii="Calibri Light" w:hAnsi="Calibri Light"/>
          <w:color w:val="333333"/>
          <w:sz w:val="23"/>
          <w:szCs w:val="23"/>
          <w:lang w:val="en"/>
        </w:rPr>
        <w:t>SpaceOAR</w:t>
      </w:r>
      <w:proofErr w:type="spellEnd"/>
      <w:r w:rsidRPr="00105B31">
        <w:rPr>
          <w:rFonts w:ascii="Calibri Light" w:hAnsi="Calibri Light"/>
          <w:color w:val="333333"/>
          <w:sz w:val="23"/>
          <w:szCs w:val="23"/>
          <w:lang w:val="en"/>
        </w:rPr>
        <w:t xml:space="preserve"> </w:t>
      </w:r>
      <w:proofErr w:type="spellStart"/>
      <w:r w:rsidRPr="00105B31">
        <w:rPr>
          <w:rFonts w:ascii="Calibri Light" w:hAnsi="Calibri Light"/>
          <w:color w:val="333333"/>
          <w:sz w:val="23"/>
          <w:szCs w:val="23"/>
          <w:lang w:val="en"/>
        </w:rPr>
        <w:t>programme</w:t>
      </w:r>
      <w:proofErr w:type="spellEnd"/>
      <w:r w:rsidRPr="00105B31">
        <w:rPr>
          <w:rFonts w:ascii="Calibri Light" w:hAnsi="Calibri Light"/>
          <w:color w:val="333333"/>
          <w:sz w:val="23"/>
          <w:szCs w:val="23"/>
          <w:lang w:val="en"/>
        </w:rPr>
        <w:t xml:space="preserve"> in a regional setting with urologists performing low volumes of insertions (&lt;1 per month on average) is of clinical benefit, and was associated with significantly lower radiation doses to the rectum and lower rates of acute diarrhea</w:t>
      </w:r>
    </w:p>
    <w:p w14:paraId="13AC2832" w14:textId="396F5ABD" w:rsidR="0003149B" w:rsidRPr="00105B31" w:rsidRDefault="0003149B" w:rsidP="00E76CF9">
      <w:pPr>
        <w:pStyle w:val="Default"/>
        <w:rPr>
          <w:rFonts w:ascii="Calibri Light" w:hAnsi="Calibri Light"/>
          <w:b/>
          <w:bCs/>
          <w:sz w:val="23"/>
          <w:szCs w:val="23"/>
        </w:rPr>
      </w:pPr>
    </w:p>
    <w:p w14:paraId="435FFD80" w14:textId="77777777" w:rsidR="00CC6514" w:rsidRPr="00105B31" w:rsidRDefault="00CC6514" w:rsidP="00105B31">
      <w:pPr>
        <w:pStyle w:val="Default"/>
        <w:jc w:val="both"/>
        <w:rPr>
          <w:rFonts w:ascii="Calibri Light" w:hAnsi="Calibri Light"/>
          <w:bCs/>
          <w:color w:val="auto"/>
          <w:sz w:val="23"/>
          <w:szCs w:val="23"/>
        </w:rPr>
      </w:pPr>
      <w:proofErr w:type="spellStart"/>
      <w:r w:rsidRPr="00105B31">
        <w:rPr>
          <w:rFonts w:ascii="Calibri Light" w:hAnsi="Calibri Light"/>
          <w:b/>
          <w:bCs/>
          <w:color w:val="auto"/>
          <w:sz w:val="23"/>
          <w:szCs w:val="23"/>
        </w:rPr>
        <w:t>Whalley</w:t>
      </w:r>
      <w:proofErr w:type="spellEnd"/>
      <w:r w:rsidRPr="00105B31">
        <w:rPr>
          <w:rFonts w:ascii="Calibri Light" w:hAnsi="Calibri Light"/>
          <w:b/>
          <w:bCs/>
          <w:color w:val="auto"/>
          <w:sz w:val="23"/>
          <w:szCs w:val="23"/>
        </w:rPr>
        <w:t xml:space="preserve"> et al. </w:t>
      </w:r>
      <w:proofErr w:type="spellStart"/>
      <w:r w:rsidRPr="00105B31">
        <w:rPr>
          <w:rFonts w:ascii="Calibri Light" w:hAnsi="Calibri Light"/>
          <w:b/>
          <w:bCs/>
          <w:i/>
          <w:color w:val="auto"/>
          <w:sz w:val="23"/>
          <w:szCs w:val="23"/>
        </w:rPr>
        <w:t>SpaceOAR</w:t>
      </w:r>
      <w:proofErr w:type="spellEnd"/>
      <w:r w:rsidRPr="00105B31">
        <w:rPr>
          <w:rFonts w:ascii="Calibri Light" w:hAnsi="Calibri Light"/>
          <w:b/>
          <w:bCs/>
          <w:i/>
          <w:color w:val="auto"/>
          <w:sz w:val="23"/>
          <w:szCs w:val="23"/>
        </w:rPr>
        <w:t xml:space="preserve"> Hydrogel in Dose-escalated Prostate Cancer Radiotherapy: Rectal Dosimetry and Late Toxicity, Clinical Oncology (2016).</w:t>
      </w:r>
      <w:r w:rsidRPr="00105B31">
        <w:rPr>
          <w:rFonts w:ascii="Calibri Light" w:hAnsi="Calibri Light"/>
          <w:b/>
          <w:bCs/>
          <w:color w:val="auto"/>
          <w:sz w:val="23"/>
          <w:szCs w:val="23"/>
        </w:rPr>
        <w:t xml:space="preserve"> </w:t>
      </w:r>
      <w:r w:rsidRPr="00105B31">
        <w:rPr>
          <w:rFonts w:ascii="Calibri Light" w:hAnsi="Calibri Light"/>
          <w:bCs/>
          <w:color w:val="auto"/>
          <w:sz w:val="23"/>
          <w:szCs w:val="23"/>
        </w:rPr>
        <w:t>[</w:t>
      </w:r>
      <w:hyperlink r:id="rId13" w:history="1">
        <w:r w:rsidRPr="00105B31">
          <w:rPr>
            <w:rStyle w:val="Hyperlink"/>
            <w:rFonts w:ascii="Calibri Light" w:hAnsi="Calibri Light"/>
            <w:bCs/>
            <w:color w:val="auto"/>
            <w:sz w:val="23"/>
            <w:szCs w:val="23"/>
          </w:rPr>
          <w:t>http://dx.doi.org/10.1016/j.clon.2016.05.005</w:t>
        </w:r>
      </w:hyperlink>
      <w:r w:rsidRPr="00105B31">
        <w:rPr>
          <w:rFonts w:ascii="Calibri Light" w:hAnsi="Calibri Light"/>
          <w:bCs/>
          <w:color w:val="auto"/>
          <w:sz w:val="23"/>
          <w:szCs w:val="23"/>
        </w:rPr>
        <w:t xml:space="preserve">] </w:t>
      </w:r>
    </w:p>
    <w:p w14:paraId="548CF2D6" w14:textId="77777777" w:rsidR="00CC6514" w:rsidRPr="00105B31" w:rsidRDefault="00CC6514" w:rsidP="00105B31">
      <w:pPr>
        <w:pStyle w:val="Default"/>
        <w:jc w:val="both"/>
        <w:rPr>
          <w:rFonts w:ascii="Calibri Light" w:hAnsi="Calibri Light"/>
          <w:bCs/>
          <w:color w:val="auto"/>
          <w:sz w:val="23"/>
          <w:szCs w:val="23"/>
        </w:rPr>
      </w:pPr>
      <w:r w:rsidRPr="00105B31">
        <w:rPr>
          <w:rFonts w:ascii="Calibri Light" w:hAnsi="Calibri Light"/>
          <w:bCs/>
          <w:color w:val="auto"/>
          <w:sz w:val="23"/>
          <w:szCs w:val="23"/>
        </w:rPr>
        <w:t xml:space="preserve">30 patients with prostate cancer underwent an MRI before and after placement of </w:t>
      </w:r>
      <w:proofErr w:type="spellStart"/>
      <w:r w:rsidRPr="00105B31">
        <w:rPr>
          <w:rFonts w:ascii="Calibri Light" w:hAnsi="Calibri Light"/>
          <w:bCs/>
          <w:color w:val="auto"/>
          <w:sz w:val="23"/>
          <w:szCs w:val="23"/>
        </w:rPr>
        <w:t>SpaceOAR</w:t>
      </w:r>
      <w:proofErr w:type="spellEnd"/>
      <w:r w:rsidRPr="00105B31">
        <w:rPr>
          <w:rFonts w:ascii="Calibri Light" w:hAnsi="Calibri Light"/>
          <w:bCs/>
          <w:color w:val="auto"/>
          <w:sz w:val="23"/>
          <w:szCs w:val="23"/>
        </w:rPr>
        <w:t xml:space="preserve">. </w:t>
      </w:r>
    </w:p>
    <w:p w14:paraId="3E4CE5B1" w14:textId="40724372" w:rsidR="00CC6514" w:rsidRPr="00105B31" w:rsidRDefault="00CC6514" w:rsidP="00105B31">
      <w:pPr>
        <w:pStyle w:val="Default"/>
        <w:numPr>
          <w:ilvl w:val="0"/>
          <w:numId w:val="4"/>
        </w:numPr>
        <w:jc w:val="both"/>
        <w:rPr>
          <w:rFonts w:ascii="Calibri Light" w:hAnsi="Calibri Light"/>
          <w:bCs/>
          <w:sz w:val="23"/>
          <w:szCs w:val="23"/>
        </w:rPr>
      </w:pPr>
      <w:r w:rsidRPr="00105B31">
        <w:rPr>
          <w:rFonts w:ascii="Calibri Light" w:hAnsi="Calibri Light"/>
          <w:bCs/>
          <w:sz w:val="23"/>
          <w:szCs w:val="23"/>
        </w:rPr>
        <w:t xml:space="preserve">First 10 patients had an additional MRI after the completion of radiation treatment. Primary endpoints were perioperative toxicity and comparison of rectal dosimetry. </w:t>
      </w:r>
    </w:p>
    <w:p w14:paraId="27148AFF" w14:textId="7A92522A" w:rsidR="00CC6514" w:rsidRPr="00105B31" w:rsidRDefault="00CC6514" w:rsidP="00105B31">
      <w:pPr>
        <w:pStyle w:val="Default"/>
        <w:numPr>
          <w:ilvl w:val="0"/>
          <w:numId w:val="4"/>
        </w:numPr>
        <w:jc w:val="both"/>
        <w:rPr>
          <w:rFonts w:ascii="Calibri Light" w:hAnsi="Calibri Light"/>
          <w:bCs/>
          <w:sz w:val="23"/>
          <w:szCs w:val="23"/>
        </w:rPr>
      </w:pPr>
      <w:r w:rsidRPr="00105B31">
        <w:rPr>
          <w:rFonts w:ascii="Calibri Light" w:hAnsi="Calibri Light"/>
          <w:bCs/>
          <w:sz w:val="23"/>
          <w:szCs w:val="23"/>
        </w:rPr>
        <w:t xml:space="preserve">Secondary endpoints were acute and late radiation toxicity. </w:t>
      </w:r>
    </w:p>
    <w:p w14:paraId="5A252E5A" w14:textId="5A6708B9" w:rsidR="00CC6514" w:rsidRPr="00105B31" w:rsidRDefault="00CC6514" w:rsidP="00105B31">
      <w:pPr>
        <w:pStyle w:val="Default"/>
        <w:numPr>
          <w:ilvl w:val="0"/>
          <w:numId w:val="4"/>
        </w:numPr>
        <w:jc w:val="both"/>
        <w:rPr>
          <w:rFonts w:ascii="Calibri Light" w:hAnsi="Calibri Light"/>
          <w:bCs/>
          <w:sz w:val="23"/>
          <w:szCs w:val="23"/>
        </w:rPr>
      </w:pPr>
      <w:r w:rsidRPr="00105B31">
        <w:rPr>
          <w:rFonts w:ascii="Calibri Light" w:hAnsi="Calibri Light"/>
          <w:bCs/>
          <w:sz w:val="23"/>
          <w:szCs w:val="23"/>
        </w:rPr>
        <w:t xml:space="preserve">Patients received 80Gy in 40 fractions. A control group of 110 prostate cancer patients treated with the same dose was identified for comparison. </w:t>
      </w:r>
    </w:p>
    <w:p w14:paraId="5F702B1A" w14:textId="3DC6779A" w:rsidR="00CC6514" w:rsidRPr="00105B31" w:rsidRDefault="00CC6514" w:rsidP="00105B31">
      <w:pPr>
        <w:pStyle w:val="Default"/>
        <w:numPr>
          <w:ilvl w:val="0"/>
          <w:numId w:val="4"/>
        </w:numPr>
        <w:jc w:val="both"/>
        <w:rPr>
          <w:rFonts w:ascii="Calibri Light" w:hAnsi="Calibri Light"/>
          <w:bCs/>
          <w:sz w:val="23"/>
          <w:szCs w:val="23"/>
        </w:rPr>
      </w:pPr>
      <w:r w:rsidRPr="00105B31">
        <w:rPr>
          <w:rFonts w:ascii="Calibri Light" w:hAnsi="Calibri Light"/>
          <w:bCs/>
          <w:sz w:val="23"/>
          <w:szCs w:val="23"/>
        </w:rPr>
        <w:t xml:space="preserve">Rectal doses were significantly lower for the post-hydrogel plans, especially above 65Gy. </w:t>
      </w:r>
    </w:p>
    <w:p w14:paraId="6D3280AD" w14:textId="01E712FC" w:rsidR="00CC6514" w:rsidRPr="00105B31" w:rsidRDefault="00CC6514" w:rsidP="00105B31">
      <w:pPr>
        <w:pStyle w:val="Default"/>
        <w:numPr>
          <w:ilvl w:val="0"/>
          <w:numId w:val="4"/>
        </w:numPr>
        <w:jc w:val="both"/>
        <w:rPr>
          <w:rFonts w:ascii="Calibri Light" w:hAnsi="Calibri Light"/>
          <w:bCs/>
          <w:sz w:val="23"/>
          <w:szCs w:val="23"/>
        </w:rPr>
      </w:pPr>
      <w:r w:rsidRPr="00105B31">
        <w:rPr>
          <w:rFonts w:ascii="Calibri Light" w:hAnsi="Calibri Light"/>
          <w:bCs/>
          <w:sz w:val="23"/>
          <w:szCs w:val="23"/>
        </w:rPr>
        <w:t xml:space="preserve">Rates of acute Grade 1 and 2 GI toxicity were 43% vs. 51% and 0% vs. 4.5% in the Spacer and Control groups, respectively (p&gt;0.05). </w:t>
      </w:r>
    </w:p>
    <w:p w14:paraId="457F4CD5" w14:textId="18CFFE54" w:rsidR="00CC6514" w:rsidRPr="00105B31" w:rsidRDefault="00CC6514" w:rsidP="00105B31">
      <w:pPr>
        <w:pStyle w:val="Default"/>
        <w:numPr>
          <w:ilvl w:val="0"/>
          <w:numId w:val="4"/>
        </w:numPr>
        <w:jc w:val="both"/>
        <w:rPr>
          <w:rFonts w:ascii="Calibri Light" w:hAnsi="Calibri Light"/>
          <w:bCs/>
          <w:sz w:val="23"/>
          <w:szCs w:val="23"/>
        </w:rPr>
      </w:pPr>
      <w:r w:rsidRPr="00105B31">
        <w:rPr>
          <w:rFonts w:ascii="Calibri Light" w:hAnsi="Calibri Light"/>
          <w:bCs/>
          <w:sz w:val="23"/>
          <w:szCs w:val="23"/>
        </w:rPr>
        <w:t>Late Grade 1 was significantly less frequent in the Spacer group (16.6% vs. 41.8%, p=0.04).</w:t>
      </w:r>
    </w:p>
    <w:p w14:paraId="39633B82" w14:textId="4380C266" w:rsidR="00A734B6" w:rsidRPr="00105B31" w:rsidRDefault="00A734B6" w:rsidP="00A734B6">
      <w:pPr>
        <w:pStyle w:val="Default"/>
        <w:rPr>
          <w:rFonts w:ascii="Calibri Light" w:eastAsia="AKJZRS+TimesNewRomanPSMT" w:hAnsi="Calibri Light"/>
          <w:b/>
          <w:bCs/>
          <w:sz w:val="23"/>
          <w:szCs w:val="23"/>
        </w:rPr>
      </w:pPr>
    </w:p>
    <w:p w14:paraId="254186D8" w14:textId="2CE20DA5" w:rsidR="00A734B6" w:rsidRPr="00105B31" w:rsidRDefault="007C7221" w:rsidP="00A734B6">
      <w:pPr>
        <w:pStyle w:val="Default"/>
        <w:jc w:val="both"/>
        <w:rPr>
          <w:rFonts w:ascii="Calibri Light" w:eastAsia="AKJZRS+TimesNewRomanPSMT" w:hAnsi="Calibri Light"/>
          <w:b/>
          <w:bCs/>
          <w:sz w:val="23"/>
          <w:szCs w:val="23"/>
        </w:rPr>
      </w:pPr>
      <w:r w:rsidRPr="00105B31">
        <w:rPr>
          <w:rFonts w:ascii="Calibri Light" w:eastAsia="AKJZRS+TimesNewRomanPSMT" w:hAnsi="Calibri Light"/>
          <w:b/>
          <w:bCs/>
          <w:sz w:val="23"/>
          <w:szCs w:val="23"/>
        </w:rPr>
        <w:t>Supplemental Studies</w:t>
      </w:r>
    </w:p>
    <w:p w14:paraId="5DDECB8F" w14:textId="77777777" w:rsidR="00A734B6" w:rsidRPr="00105B31" w:rsidRDefault="00A734B6" w:rsidP="00A734B6">
      <w:pPr>
        <w:pStyle w:val="Default"/>
        <w:jc w:val="both"/>
        <w:rPr>
          <w:rFonts w:ascii="Calibri Light" w:eastAsia="AKJZRS+TimesNewRomanPSMT" w:hAnsi="Calibri Light"/>
          <w:b/>
          <w:bCs/>
          <w:sz w:val="23"/>
          <w:szCs w:val="23"/>
        </w:rPr>
      </w:pPr>
    </w:p>
    <w:p w14:paraId="3040579E" w14:textId="77777777" w:rsidR="00360D5C" w:rsidRPr="00105B31" w:rsidRDefault="00360D5C" w:rsidP="00360D5C">
      <w:pPr>
        <w:pStyle w:val="Default"/>
        <w:jc w:val="both"/>
        <w:rPr>
          <w:rFonts w:ascii="Calibri Light" w:eastAsia="AKJZRS+TimesNewRomanPSMT" w:hAnsi="Calibri Light"/>
          <w:b/>
          <w:bCs/>
          <w:sz w:val="23"/>
          <w:szCs w:val="23"/>
        </w:rPr>
      </w:pPr>
      <w:r w:rsidRPr="00105B31">
        <w:rPr>
          <w:rFonts w:ascii="Calibri Light" w:eastAsia="AKJZRS+TimesNewRomanPSMT" w:hAnsi="Calibri Light"/>
          <w:b/>
          <w:bCs/>
          <w:sz w:val="23"/>
          <w:szCs w:val="23"/>
        </w:rPr>
        <w:t xml:space="preserve">Wood et al, Incidence, predictors, and cost implications of gastrointestinal complications following intensity-modulated radiation therapy for prostate cancer. 2015 Genitourinary Cancers Symposium; J </w:t>
      </w:r>
      <w:proofErr w:type="spellStart"/>
      <w:r w:rsidRPr="00105B31">
        <w:rPr>
          <w:rFonts w:ascii="Calibri Light" w:eastAsia="AKJZRS+TimesNewRomanPSMT" w:hAnsi="Calibri Light"/>
          <w:b/>
          <w:bCs/>
          <w:sz w:val="23"/>
          <w:szCs w:val="23"/>
        </w:rPr>
        <w:t>Clin</w:t>
      </w:r>
      <w:proofErr w:type="spellEnd"/>
      <w:r w:rsidRPr="00105B31">
        <w:rPr>
          <w:rFonts w:ascii="Calibri Light" w:eastAsia="AKJZRS+TimesNewRomanPSMT" w:hAnsi="Calibri Light"/>
          <w:b/>
          <w:bCs/>
          <w:sz w:val="23"/>
          <w:szCs w:val="23"/>
        </w:rPr>
        <w:t xml:space="preserve"> </w:t>
      </w:r>
      <w:proofErr w:type="spellStart"/>
      <w:r w:rsidRPr="00105B31">
        <w:rPr>
          <w:rFonts w:ascii="Calibri Light" w:eastAsia="AKJZRS+TimesNewRomanPSMT" w:hAnsi="Calibri Light"/>
          <w:b/>
          <w:bCs/>
          <w:sz w:val="23"/>
          <w:szCs w:val="23"/>
        </w:rPr>
        <w:t>Oncol</w:t>
      </w:r>
      <w:proofErr w:type="spellEnd"/>
      <w:r w:rsidRPr="00105B31">
        <w:rPr>
          <w:rFonts w:ascii="Calibri Light" w:eastAsia="AKJZRS+TimesNewRomanPSMT" w:hAnsi="Calibri Light"/>
          <w:b/>
          <w:bCs/>
          <w:sz w:val="23"/>
          <w:szCs w:val="23"/>
        </w:rPr>
        <w:t xml:space="preserve"> 33, 2015 (</w:t>
      </w:r>
      <w:proofErr w:type="spellStart"/>
      <w:r w:rsidRPr="00105B31">
        <w:rPr>
          <w:rFonts w:ascii="Calibri Light" w:eastAsia="AKJZRS+TimesNewRomanPSMT" w:hAnsi="Calibri Light"/>
          <w:b/>
          <w:bCs/>
          <w:sz w:val="23"/>
          <w:szCs w:val="23"/>
        </w:rPr>
        <w:t>suppl</w:t>
      </w:r>
      <w:proofErr w:type="spellEnd"/>
      <w:r w:rsidRPr="00105B31">
        <w:rPr>
          <w:rFonts w:ascii="Calibri Light" w:eastAsia="AKJZRS+TimesNewRomanPSMT" w:hAnsi="Calibri Light"/>
          <w:b/>
          <w:bCs/>
          <w:sz w:val="23"/>
          <w:szCs w:val="23"/>
        </w:rPr>
        <w:t xml:space="preserve"> 7; </w:t>
      </w:r>
      <w:proofErr w:type="spellStart"/>
      <w:r w:rsidRPr="00105B31">
        <w:rPr>
          <w:rFonts w:ascii="Calibri Light" w:eastAsia="AKJZRS+TimesNewRomanPSMT" w:hAnsi="Calibri Light"/>
          <w:b/>
          <w:bCs/>
          <w:sz w:val="23"/>
          <w:szCs w:val="23"/>
        </w:rPr>
        <w:t>abstr</w:t>
      </w:r>
      <w:proofErr w:type="spellEnd"/>
      <w:r w:rsidRPr="00105B31">
        <w:rPr>
          <w:rFonts w:ascii="Calibri Light" w:eastAsia="AKJZRS+TimesNewRomanPSMT" w:hAnsi="Calibri Light"/>
          <w:b/>
          <w:bCs/>
          <w:sz w:val="23"/>
          <w:szCs w:val="23"/>
        </w:rPr>
        <w:t xml:space="preserve"> 31).</w:t>
      </w:r>
    </w:p>
    <w:p w14:paraId="2F6E1534" w14:textId="5CB2AF1C" w:rsidR="00360D5C" w:rsidRPr="00105B31" w:rsidRDefault="00360D5C" w:rsidP="00105B31">
      <w:pPr>
        <w:pStyle w:val="Default"/>
        <w:numPr>
          <w:ilvl w:val="0"/>
          <w:numId w:val="4"/>
        </w:numPr>
        <w:jc w:val="both"/>
        <w:rPr>
          <w:rFonts w:ascii="Calibri Light" w:eastAsia="AKJZRS+TimesNewRomanPSMT" w:hAnsi="Calibri Light"/>
          <w:sz w:val="23"/>
          <w:szCs w:val="23"/>
        </w:rPr>
      </w:pPr>
      <w:r w:rsidRPr="00105B31">
        <w:rPr>
          <w:rFonts w:ascii="Calibri Light" w:eastAsia="AKJZRS+TimesNewRomanPSMT" w:hAnsi="Calibri Light"/>
          <w:sz w:val="23"/>
          <w:szCs w:val="23"/>
        </w:rPr>
        <w:t xml:space="preserve">Using Surveillance, Epidemiology, and End Results (SEER)-Medicare-linked data, 11,781 men diagnosed with  non-metastatic prostate cancer from 2002 to 2006 who underwent definitive IMRT were identified. </w:t>
      </w:r>
    </w:p>
    <w:p w14:paraId="2D302656" w14:textId="4DF4B663" w:rsidR="00360D5C" w:rsidRPr="00105B31" w:rsidRDefault="00360D5C" w:rsidP="00105B31">
      <w:pPr>
        <w:pStyle w:val="Default"/>
        <w:numPr>
          <w:ilvl w:val="0"/>
          <w:numId w:val="4"/>
        </w:numPr>
        <w:jc w:val="both"/>
        <w:rPr>
          <w:rFonts w:ascii="Calibri Light" w:eastAsia="AKJZRS+TimesNewRomanPSMT" w:hAnsi="Calibri Light"/>
          <w:sz w:val="23"/>
          <w:szCs w:val="23"/>
        </w:rPr>
      </w:pPr>
      <w:r w:rsidRPr="00105B31">
        <w:rPr>
          <w:rFonts w:ascii="Calibri Light" w:eastAsia="AKJZRS+TimesNewRomanPSMT" w:hAnsi="Calibri Light"/>
          <w:sz w:val="23"/>
          <w:szCs w:val="23"/>
        </w:rPr>
        <w:t xml:space="preserve">Patients had no pre-existing GI toxicity and had at least 36 months of follow-up after IMRT initiation. </w:t>
      </w:r>
    </w:p>
    <w:p w14:paraId="2B3B7ECB" w14:textId="4005DF6A" w:rsidR="00360D5C" w:rsidRPr="00105B31" w:rsidRDefault="00360D5C" w:rsidP="00105B31">
      <w:pPr>
        <w:pStyle w:val="Default"/>
        <w:numPr>
          <w:ilvl w:val="0"/>
          <w:numId w:val="4"/>
        </w:numPr>
        <w:jc w:val="both"/>
        <w:rPr>
          <w:rFonts w:ascii="Calibri Light" w:eastAsia="AKJZRS+TimesNewRomanPSMT" w:hAnsi="Calibri Light"/>
          <w:sz w:val="23"/>
          <w:szCs w:val="23"/>
        </w:rPr>
      </w:pPr>
      <w:r w:rsidRPr="00105B31">
        <w:rPr>
          <w:rFonts w:ascii="Calibri Light" w:eastAsia="AKJZRS+TimesNewRomanPSMT" w:hAnsi="Calibri Light"/>
          <w:sz w:val="23"/>
          <w:szCs w:val="23"/>
        </w:rPr>
        <w:t xml:space="preserve">Over the 36-month follow-up period, the incidence of post-IMRT GI complications was 26.5% (n=3,118). </w:t>
      </w:r>
    </w:p>
    <w:p w14:paraId="247C0B83" w14:textId="3C58AB1E" w:rsidR="00360D5C" w:rsidRPr="00105B31" w:rsidRDefault="00360D5C" w:rsidP="00105B31">
      <w:pPr>
        <w:pStyle w:val="Default"/>
        <w:numPr>
          <w:ilvl w:val="0"/>
          <w:numId w:val="4"/>
        </w:numPr>
        <w:jc w:val="both"/>
        <w:rPr>
          <w:rFonts w:ascii="Calibri Light" w:eastAsia="AKJZRS+TimesNewRomanPSMT" w:hAnsi="Calibri Light"/>
          <w:sz w:val="23"/>
          <w:szCs w:val="23"/>
        </w:rPr>
      </w:pPr>
      <w:r w:rsidRPr="00105B31">
        <w:rPr>
          <w:rFonts w:ascii="Calibri Light" w:eastAsia="AKJZRS+TimesNewRomanPSMT" w:hAnsi="Calibri Light"/>
          <w:sz w:val="23"/>
          <w:szCs w:val="23"/>
        </w:rPr>
        <w:t xml:space="preserve">The median Medicare annual incremental cost per patient associated with post-IMRT GI complications was $3,375 in 2014 dollars (95% CI $3,222-3,529, p&lt;0.0001). </w:t>
      </w:r>
    </w:p>
    <w:p w14:paraId="4C2A03D5" w14:textId="21CD4935" w:rsidR="00105B31" w:rsidRPr="00105B31" w:rsidRDefault="00105B31" w:rsidP="00A734B6">
      <w:pPr>
        <w:pStyle w:val="Default"/>
        <w:jc w:val="both"/>
        <w:rPr>
          <w:rFonts w:ascii="Calibri Light" w:eastAsia="AKJZRS+TimesNewRomanPSMT" w:hAnsi="Calibri Light"/>
          <w:b/>
          <w:bCs/>
          <w:sz w:val="23"/>
          <w:szCs w:val="23"/>
        </w:rPr>
      </w:pPr>
    </w:p>
    <w:p w14:paraId="4734048A" w14:textId="26392090" w:rsidR="006F645F" w:rsidRPr="00105B31" w:rsidRDefault="007C7221" w:rsidP="00A734B6">
      <w:pPr>
        <w:pStyle w:val="Default"/>
        <w:jc w:val="both"/>
        <w:rPr>
          <w:rFonts w:ascii="Calibri Light" w:eastAsia="AKJZRS+TimesNewRomanPSMT" w:hAnsi="Calibri Light"/>
          <w:b/>
          <w:bCs/>
          <w:sz w:val="23"/>
          <w:szCs w:val="23"/>
        </w:rPr>
      </w:pPr>
      <w:r w:rsidRPr="00105B31">
        <w:rPr>
          <w:rFonts w:ascii="Calibri Light" w:eastAsia="AKJZRS+TimesNewRomanPSMT" w:hAnsi="Calibri Light"/>
          <w:b/>
          <w:bCs/>
          <w:sz w:val="23"/>
          <w:szCs w:val="23"/>
        </w:rPr>
        <w:t xml:space="preserve">Nam et al, </w:t>
      </w:r>
      <w:r w:rsidRPr="00105B31">
        <w:rPr>
          <w:rFonts w:ascii="Calibri Light" w:eastAsia="AKJZRS+TimesNewRomanPSMT" w:hAnsi="Calibri Light"/>
          <w:b/>
          <w:bCs/>
          <w:i/>
          <w:sz w:val="23"/>
          <w:szCs w:val="23"/>
        </w:rPr>
        <w:t>Incidence of complications other than urinary incontinence or erectile dysfunction after radical prostatectomy or radiotherapy for prostate cancer: a population-based cohort study.</w:t>
      </w:r>
      <w:r w:rsidRPr="00105B31">
        <w:rPr>
          <w:rFonts w:ascii="Calibri Light" w:eastAsia="AKJZRS+TimesNewRomanPSMT" w:hAnsi="Calibri Light"/>
          <w:b/>
          <w:bCs/>
          <w:sz w:val="23"/>
          <w:szCs w:val="23"/>
        </w:rPr>
        <w:t xml:space="preserve"> </w:t>
      </w:r>
    </w:p>
    <w:p w14:paraId="319F08F0" w14:textId="77777777" w:rsidR="00EA3ACD" w:rsidRPr="00105B31" w:rsidRDefault="006F645F" w:rsidP="00A734B6">
      <w:pPr>
        <w:pStyle w:val="Default"/>
        <w:jc w:val="both"/>
        <w:rPr>
          <w:rFonts w:ascii="Calibri Light" w:eastAsia="AKJZRS+TimesNewRomanPSMT" w:hAnsi="Calibri Light"/>
          <w:bCs/>
          <w:sz w:val="23"/>
          <w:szCs w:val="23"/>
        </w:rPr>
      </w:pPr>
      <w:r w:rsidRPr="00105B31">
        <w:rPr>
          <w:rFonts w:ascii="Calibri Light" w:eastAsia="AKJZRS+TimesNewRomanPSMT" w:hAnsi="Calibri Light"/>
          <w:bCs/>
          <w:sz w:val="23"/>
          <w:szCs w:val="23"/>
        </w:rPr>
        <w:t>[</w:t>
      </w:r>
      <w:r w:rsidR="007C7221" w:rsidRPr="00105B31">
        <w:rPr>
          <w:rFonts w:ascii="Calibri Light" w:eastAsia="AKJZRS+TimesNewRomanPSMT" w:hAnsi="Calibri Light"/>
          <w:bCs/>
          <w:sz w:val="23"/>
          <w:szCs w:val="23"/>
        </w:rPr>
        <w:t>The Lancet 2014;15:221-31.</w:t>
      </w:r>
      <w:r w:rsidRPr="00105B31">
        <w:rPr>
          <w:rFonts w:ascii="Calibri Light" w:eastAsia="AKJZRS+TimesNewRomanPSMT" w:hAnsi="Calibri Light"/>
          <w:bCs/>
          <w:sz w:val="23"/>
          <w:szCs w:val="23"/>
        </w:rPr>
        <w:t>]</w:t>
      </w:r>
    </w:p>
    <w:p w14:paraId="3D269AC2" w14:textId="77777777" w:rsidR="00EA3ACD" w:rsidRPr="00105B31" w:rsidRDefault="007C7221" w:rsidP="007C7221">
      <w:pPr>
        <w:pStyle w:val="Default"/>
        <w:rPr>
          <w:rFonts w:ascii="Calibri Light" w:eastAsia="AKJZRS+TimesNewRomanPSMT" w:hAnsi="Calibri Light"/>
          <w:sz w:val="23"/>
          <w:szCs w:val="23"/>
        </w:rPr>
      </w:pPr>
      <w:r w:rsidRPr="00105B31">
        <w:rPr>
          <w:rFonts w:ascii="Calibri Light" w:eastAsia="AKJZRS+TimesNewRomanPSMT" w:hAnsi="Calibri Light"/>
          <w:sz w:val="23"/>
          <w:szCs w:val="23"/>
        </w:rPr>
        <w:t>Population-based retrospective cohort study involving 32,465 patients.</w:t>
      </w:r>
    </w:p>
    <w:p w14:paraId="0D0BC777" w14:textId="5F7C2BB2" w:rsidR="00EA3ACD" w:rsidRPr="00105B31" w:rsidRDefault="007C7221" w:rsidP="00105B31">
      <w:pPr>
        <w:pStyle w:val="Default"/>
        <w:numPr>
          <w:ilvl w:val="0"/>
          <w:numId w:val="5"/>
        </w:numPr>
        <w:jc w:val="both"/>
        <w:rPr>
          <w:rFonts w:ascii="Calibri Light" w:eastAsia="AKJZRS+TimesNewRomanPSMT" w:hAnsi="Calibri Light"/>
          <w:sz w:val="23"/>
          <w:szCs w:val="23"/>
        </w:rPr>
      </w:pPr>
      <w:r w:rsidRPr="00105B31">
        <w:rPr>
          <w:rFonts w:ascii="Calibri Light" w:eastAsia="AKJZRS+TimesNewRomanPSMT" w:hAnsi="Calibri Light"/>
          <w:sz w:val="23"/>
          <w:szCs w:val="23"/>
        </w:rPr>
        <w:t xml:space="preserve">The 5-year cumulative incidences of five treatment-related complication endpoints were measured: hospital admissions; urological, rectal, or anal procedures; open surgical procedures; and secondary malignancies. </w:t>
      </w:r>
    </w:p>
    <w:p w14:paraId="17EFE28B" w14:textId="5896753E" w:rsidR="00EA3ACD" w:rsidRPr="00105B31" w:rsidRDefault="007C7221" w:rsidP="00105B31">
      <w:pPr>
        <w:pStyle w:val="Default"/>
        <w:numPr>
          <w:ilvl w:val="0"/>
          <w:numId w:val="5"/>
        </w:numPr>
        <w:jc w:val="both"/>
        <w:rPr>
          <w:rFonts w:ascii="Calibri Light" w:eastAsia="AKJZRS+TimesNewRomanPSMT" w:hAnsi="Calibri Light"/>
          <w:sz w:val="23"/>
          <w:szCs w:val="23"/>
        </w:rPr>
      </w:pPr>
      <w:r w:rsidRPr="00105B31">
        <w:rPr>
          <w:rFonts w:ascii="Calibri Light" w:eastAsia="AKJZRS+TimesNewRomanPSMT" w:hAnsi="Calibri Light"/>
          <w:sz w:val="23"/>
          <w:szCs w:val="23"/>
        </w:rPr>
        <w:t xml:space="preserve">The 5-year cumulative incidence of needing a urological procedure was 32·0% (95% CI 31·4–32·5) and that of a rectal or anal procedure was 13·7% (13·3–14·1. </w:t>
      </w:r>
    </w:p>
    <w:p w14:paraId="68D2BED1" w14:textId="423DBA8D" w:rsidR="006F645F" w:rsidRPr="00105B31" w:rsidRDefault="007C7221" w:rsidP="00105B31">
      <w:pPr>
        <w:pStyle w:val="Default"/>
        <w:numPr>
          <w:ilvl w:val="0"/>
          <w:numId w:val="5"/>
        </w:numPr>
        <w:jc w:val="both"/>
        <w:rPr>
          <w:rFonts w:ascii="Calibri Light" w:eastAsia="AKJZRS+TimesNewRomanPSMT" w:hAnsi="Calibri Light"/>
          <w:sz w:val="23"/>
          <w:szCs w:val="23"/>
        </w:rPr>
      </w:pPr>
      <w:r w:rsidRPr="00105B31">
        <w:rPr>
          <w:rFonts w:ascii="Calibri Light" w:eastAsia="AKJZRS+TimesNewRomanPSMT" w:hAnsi="Calibri Light"/>
          <w:sz w:val="23"/>
          <w:szCs w:val="23"/>
        </w:rPr>
        <w:t>Patients who</w:t>
      </w:r>
      <w:r w:rsidR="00EA3ACD" w:rsidRPr="00105B31">
        <w:rPr>
          <w:rFonts w:ascii="Calibri Light" w:eastAsia="AKJZRS+TimesNewRomanPSMT" w:hAnsi="Calibri Light"/>
          <w:sz w:val="23"/>
          <w:szCs w:val="23"/>
        </w:rPr>
        <w:t xml:space="preserve"> </w:t>
      </w:r>
      <w:r w:rsidRPr="00105B31">
        <w:rPr>
          <w:rFonts w:ascii="Calibri Light" w:eastAsia="AKJZRS+TimesNewRomanPSMT" w:hAnsi="Calibri Light"/>
          <w:sz w:val="23"/>
          <w:szCs w:val="23"/>
        </w:rPr>
        <w:t xml:space="preserve">were given radiotherapy had higher incidence of complications for hospital admissions, rectal or anal procedures, open surgical procedures, and secondary malignancies at 5 years than did those who underwent surgery (adjusted hazard ratios 2·08–10·8, p&lt;0·0001). </w:t>
      </w:r>
    </w:p>
    <w:p w14:paraId="6C641BCC" w14:textId="54CF6E34" w:rsidR="00B53D8B" w:rsidRPr="00105B31" w:rsidRDefault="007C7221" w:rsidP="00105B31">
      <w:pPr>
        <w:pStyle w:val="Default"/>
        <w:numPr>
          <w:ilvl w:val="0"/>
          <w:numId w:val="5"/>
        </w:numPr>
        <w:jc w:val="both"/>
        <w:rPr>
          <w:rFonts w:ascii="Calibri Light" w:hAnsi="Calibri Light"/>
          <w:sz w:val="23"/>
          <w:szCs w:val="23"/>
        </w:rPr>
      </w:pPr>
      <w:r w:rsidRPr="00105B31">
        <w:rPr>
          <w:rFonts w:ascii="Calibri Light" w:eastAsia="AKJZRS+TimesNewRomanPSMT" w:hAnsi="Calibri Light"/>
          <w:sz w:val="23"/>
          <w:szCs w:val="23"/>
        </w:rPr>
        <w:t>The 5-year incidence rate of rectal/anal procedures in patients receiving radiation therapy was 18.4% with a 27% risk of treatment related readmission (n=16,595).</w:t>
      </w:r>
    </w:p>
    <w:sectPr w:rsidR="00B53D8B" w:rsidRPr="00105B31" w:rsidSect="00DC1011">
      <w:headerReference w:type="first" r:id="rId14"/>
      <w:footerReference w:type="first" r:id="rId15"/>
      <w:pgSz w:w="12240" w:h="15840" w:code="1"/>
      <w:pgMar w:top="1170" w:right="900" w:bottom="1890" w:left="900" w:header="360" w:footer="12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8CF92" w14:textId="77777777" w:rsidR="00A86978" w:rsidRDefault="00A86978" w:rsidP="000248EC">
      <w:pPr>
        <w:spacing w:after="0" w:line="240" w:lineRule="auto"/>
      </w:pPr>
      <w:r>
        <w:separator/>
      </w:r>
    </w:p>
  </w:endnote>
  <w:endnote w:type="continuationSeparator" w:id="0">
    <w:p w14:paraId="381A88C1" w14:textId="77777777" w:rsidR="00A86978" w:rsidRDefault="00A86978" w:rsidP="00024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AKJZRS+TimesNewRomanPSMT">
    <w:altName w:val="MS Mincho"/>
    <w:panose1 w:val="00000000000000000000"/>
    <w:charset w:val="80"/>
    <w:family w:val="roman"/>
    <w:notTrueType/>
    <w:pitch w:val="default"/>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dvGulliv-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4EE59" w14:textId="77777777" w:rsidR="0083392A" w:rsidRDefault="00AA2219" w:rsidP="00AA2219">
    <w:pPr>
      <w:pStyle w:val="FooterInfo"/>
    </w:pPr>
    <w:r>
      <w:fldChar w:fldCharType="begin"/>
    </w:r>
    <w:r w:rsidRPr="00AA2219">
      <w:rPr>
        <w:sz w:val="12"/>
      </w:rPr>
      <w:instrText xml:space="preserve"> MACROBUTTON DocID \\DC - 038988/000003 - 8238797 v1 </w:instrText>
    </w:r>
    <w:r>
      <w:fldChar w:fldCharType="end"/>
    </w:r>
    <w:r w:rsidRPr="00AA2219">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95330"/>
      <w:docPartObj>
        <w:docPartGallery w:val="Page Numbers (Bottom of Page)"/>
        <w:docPartUnique/>
      </w:docPartObj>
    </w:sdtPr>
    <w:sdtEndPr/>
    <w:sdtContent>
      <w:sdt>
        <w:sdtPr>
          <w:id w:val="-712195374"/>
          <w:docPartObj>
            <w:docPartGallery w:val="Page Numbers (Top of Page)"/>
            <w:docPartUnique/>
          </w:docPartObj>
        </w:sdtPr>
        <w:sdtEndPr/>
        <w:sdtContent>
          <w:p w14:paraId="0F9D796A" w14:textId="15901AF2" w:rsidR="007C7221" w:rsidRDefault="00DC1011" w:rsidP="00DC1011">
            <w:pPr>
              <w:pStyle w:val="Footer"/>
              <w:tabs>
                <w:tab w:val="clear" w:pos="4680"/>
                <w:tab w:val="clear" w:pos="9360"/>
                <w:tab w:val="right" w:pos="10440"/>
              </w:tabs>
            </w:pPr>
            <w:r w:rsidRPr="00DC1011">
              <w:rPr>
                <w:noProof/>
              </w:rPr>
              <w:drawing>
                <wp:anchor distT="0" distB="0" distL="114300" distR="114300" simplePos="0" relativeHeight="251667456" behindDoc="1" locked="0" layoutInCell="1" allowOverlap="1" wp14:anchorId="3D804C1A" wp14:editId="231457DB">
                  <wp:simplePos x="0" y="0"/>
                  <wp:positionH relativeFrom="margin">
                    <wp:posOffset>2695575</wp:posOffset>
                  </wp:positionH>
                  <wp:positionV relativeFrom="paragraph">
                    <wp:posOffset>8890</wp:posOffset>
                  </wp:positionV>
                  <wp:extent cx="1236980" cy="640080"/>
                  <wp:effectExtent l="0" t="0" r="1270" b="762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head_spaceoar_logo_01.jpg"/>
                          <pic:cNvPicPr/>
                        </pic:nvPicPr>
                        <pic:blipFill>
                          <a:blip r:embed="rId1">
                            <a:extLst>
                              <a:ext uri="{28A0092B-C50C-407E-A947-70E740481C1C}">
                                <a14:useLocalDpi xmlns:a14="http://schemas.microsoft.com/office/drawing/2010/main" val="0"/>
                              </a:ext>
                            </a:extLst>
                          </a:blip>
                          <a:stretch>
                            <a:fillRect/>
                          </a:stretch>
                        </pic:blipFill>
                        <pic:spPr>
                          <a:xfrm>
                            <a:off x="0" y="0"/>
                            <a:ext cx="1236980" cy="640080"/>
                          </a:xfrm>
                          <a:prstGeom prst="rect">
                            <a:avLst/>
                          </a:prstGeom>
                        </pic:spPr>
                      </pic:pic>
                    </a:graphicData>
                  </a:graphic>
                </wp:anchor>
              </w:drawing>
            </w:r>
            <w:r>
              <w:t>Summary</w:t>
            </w:r>
            <w:r>
              <w:tab/>
            </w:r>
            <w:r w:rsidR="007C7221" w:rsidRPr="00DC1011">
              <w:t xml:space="preserve">Page </w:t>
            </w:r>
            <w:r w:rsidR="007C7221" w:rsidRPr="00DC1011">
              <w:rPr>
                <w:bCs/>
                <w:sz w:val="24"/>
                <w:szCs w:val="24"/>
              </w:rPr>
              <w:fldChar w:fldCharType="begin"/>
            </w:r>
            <w:r w:rsidR="007C7221" w:rsidRPr="00DC1011">
              <w:rPr>
                <w:bCs/>
              </w:rPr>
              <w:instrText xml:space="preserve"> PAGE </w:instrText>
            </w:r>
            <w:r w:rsidR="007C7221" w:rsidRPr="00DC1011">
              <w:rPr>
                <w:bCs/>
                <w:sz w:val="24"/>
                <w:szCs w:val="24"/>
              </w:rPr>
              <w:fldChar w:fldCharType="separate"/>
            </w:r>
            <w:r w:rsidR="00323939">
              <w:rPr>
                <w:bCs/>
                <w:noProof/>
              </w:rPr>
              <w:t>4</w:t>
            </w:r>
            <w:r w:rsidR="007C7221" w:rsidRPr="00DC1011">
              <w:rPr>
                <w:bCs/>
                <w:sz w:val="24"/>
                <w:szCs w:val="24"/>
              </w:rPr>
              <w:fldChar w:fldCharType="end"/>
            </w:r>
            <w:r w:rsidR="007C7221" w:rsidRPr="00DC1011">
              <w:t xml:space="preserve"> of </w:t>
            </w:r>
            <w:r w:rsidR="007C7221" w:rsidRPr="00DC1011">
              <w:rPr>
                <w:bCs/>
                <w:sz w:val="24"/>
                <w:szCs w:val="24"/>
              </w:rPr>
              <w:fldChar w:fldCharType="begin"/>
            </w:r>
            <w:r w:rsidR="007C7221" w:rsidRPr="00DC1011">
              <w:rPr>
                <w:bCs/>
              </w:rPr>
              <w:instrText xml:space="preserve"> NUMPAGES  </w:instrText>
            </w:r>
            <w:r w:rsidR="007C7221" w:rsidRPr="00DC1011">
              <w:rPr>
                <w:bCs/>
                <w:sz w:val="24"/>
                <w:szCs w:val="24"/>
              </w:rPr>
              <w:fldChar w:fldCharType="separate"/>
            </w:r>
            <w:r w:rsidR="00323939">
              <w:rPr>
                <w:bCs/>
                <w:noProof/>
              </w:rPr>
              <w:t>4</w:t>
            </w:r>
            <w:r w:rsidR="007C7221" w:rsidRPr="00DC1011">
              <w:rPr>
                <w:bCs/>
                <w:sz w:val="24"/>
                <w:szCs w:val="24"/>
              </w:rPr>
              <w:fldChar w:fldCharType="end"/>
            </w:r>
          </w:p>
        </w:sdtContent>
      </w:sdt>
    </w:sdtContent>
  </w:sdt>
  <w:p w14:paraId="27478BF6" w14:textId="3D8F3836" w:rsidR="007C7221" w:rsidRDefault="00DC1011">
    <w:pPr>
      <w:pStyle w:val="Footer"/>
    </w:pPr>
    <w:r w:rsidRPr="00DC1011">
      <w:rPr>
        <w:noProof/>
      </w:rPr>
      <w:drawing>
        <wp:anchor distT="0" distB="0" distL="114300" distR="114300" simplePos="0" relativeHeight="251668480" behindDoc="1" locked="0" layoutInCell="1" allowOverlap="1" wp14:anchorId="20E36244" wp14:editId="3751AADF">
          <wp:simplePos x="0" y="0"/>
          <wp:positionH relativeFrom="margin">
            <wp:posOffset>342900</wp:posOffset>
          </wp:positionH>
          <wp:positionV relativeFrom="paragraph">
            <wp:posOffset>476885</wp:posOffset>
          </wp:positionV>
          <wp:extent cx="5943600" cy="188595"/>
          <wp:effectExtent l="0" t="0" r="0" b="1905"/>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tterhead_footer_01.jpg"/>
                  <pic:cNvPicPr/>
                </pic:nvPicPr>
                <pic:blipFill>
                  <a:blip r:embed="rId2">
                    <a:extLst>
                      <a:ext uri="{28A0092B-C50C-407E-A947-70E740481C1C}">
                        <a14:useLocalDpi xmlns:a14="http://schemas.microsoft.com/office/drawing/2010/main" val="0"/>
                      </a:ext>
                    </a:extLst>
                  </a:blip>
                  <a:stretch>
                    <a:fillRect/>
                  </a:stretch>
                </pic:blipFill>
                <pic:spPr>
                  <a:xfrm>
                    <a:off x="0" y="0"/>
                    <a:ext cx="5943600" cy="1885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F9F2E" w14:textId="77777777" w:rsidR="00DB5C19" w:rsidRPr="00DB5C19" w:rsidRDefault="00DB5C19" w:rsidP="00DB5C19">
    <w:pPr>
      <w:autoSpaceDE w:val="0"/>
      <w:autoSpaceDN w:val="0"/>
      <w:adjustRightInd w:val="0"/>
      <w:spacing w:after="0" w:line="240" w:lineRule="auto"/>
      <w:jc w:val="right"/>
      <w:rPr>
        <w:rFonts w:ascii="Calibri Light" w:hAnsi="Calibri Light" w:cs="Calibri Light"/>
        <w:color w:val="211D1E"/>
        <w:sz w:val="21"/>
        <w:szCs w:val="21"/>
      </w:rPr>
    </w:pPr>
    <w:r w:rsidRPr="00DB5C19">
      <w:rPr>
        <w:rFonts w:ascii="Calibri Light" w:hAnsi="Calibri Light" w:cs="Calibri Light"/>
        <w:color w:val="211D1E"/>
        <w:sz w:val="21"/>
        <w:szCs w:val="21"/>
      </w:rPr>
      <w:t xml:space="preserve">ML122 </w:t>
    </w:r>
  </w:p>
  <w:p w14:paraId="226DFE2C" w14:textId="10F69F66" w:rsidR="00B53D8B" w:rsidRPr="00DC1011" w:rsidRDefault="00A86978" w:rsidP="00DC1011">
    <w:pPr>
      <w:pStyle w:val="Footer"/>
      <w:tabs>
        <w:tab w:val="clear" w:pos="4680"/>
        <w:tab w:val="clear" w:pos="9360"/>
        <w:tab w:val="right" w:pos="10440"/>
      </w:tabs>
      <w:rPr>
        <w:bCs/>
      </w:rPr>
    </w:pPr>
    <w:sdt>
      <w:sdtPr>
        <w:id w:val="1502391521"/>
        <w:docPartObj>
          <w:docPartGallery w:val="Page Numbers (Bottom of Page)"/>
          <w:docPartUnique/>
        </w:docPartObj>
      </w:sdtPr>
      <w:sdtEndPr/>
      <w:sdtContent>
        <w:sdt>
          <w:sdtPr>
            <w:id w:val="-1522004866"/>
            <w:docPartObj>
              <w:docPartGallery w:val="Page Numbers (Top of Page)"/>
              <w:docPartUnique/>
            </w:docPartObj>
          </w:sdtPr>
          <w:sdtEndPr/>
          <w:sdtContent>
            <w:r w:rsidR="00DC1011">
              <w:t>Summary</w:t>
            </w:r>
            <w:r w:rsidR="00DC1011">
              <w:tab/>
            </w:r>
            <w:r w:rsidR="003327A3" w:rsidRPr="00DC1011">
              <w:t xml:space="preserve">Page </w:t>
            </w:r>
            <w:r w:rsidR="003327A3" w:rsidRPr="00DC1011">
              <w:rPr>
                <w:bCs/>
              </w:rPr>
              <w:fldChar w:fldCharType="begin"/>
            </w:r>
            <w:r w:rsidR="003327A3" w:rsidRPr="00DC1011">
              <w:rPr>
                <w:bCs/>
              </w:rPr>
              <w:instrText xml:space="preserve"> PAGE </w:instrText>
            </w:r>
            <w:r w:rsidR="003327A3" w:rsidRPr="00DC1011">
              <w:rPr>
                <w:bCs/>
              </w:rPr>
              <w:fldChar w:fldCharType="separate"/>
            </w:r>
            <w:r w:rsidR="00323939">
              <w:rPr>
                <w:bCs/>
                <w:noProof/>
              </w:rPr>
              <w:t>1</w:t>
            </w:r>
            <w:r w:rsidR="003327A3" w:rsidRPr="00DC1011">
              <w:rPr>
                <w:bCs/>
              </w:rPr>
              <w:fldChar w:fldCharType="end"/>
            </w:r>
            <w:r w:rsidR="003327A3" w:rsidRPr="00DC1011">
              <w:t xml:space="preserve"> of </w:t>
            </w:r>
            <w:r w:rsidR="003327A3" w:rsidRPr="00DC1011">
              <w:rPr>
                <w:bCs/>
              </w:rPr>
              <w:fldChar w:fldCharType="begin"/>
            </w:r>
            <w:r w:rsidR="003327A3" w:rsidRPr="00DC1011">
              <w:rPr>
                <w:bCs/>
              </w:rPr>
              <w:instrText xml:space="preserve"> NUMPAGES  </w:instrText>
            </w:r>
            <w:r w:rsidR="003327A3" w:rsidRPr="00DC1011">
              <w:rPr>
                <w:bCs/>
              </w:rPr>
              <w:fldChar w:fldCharType="separate"/>
            </w:r>
            <w:r w:rsidR="00323939">
              <w:rPr>
                <w:bCs/>
                <w:noProof/>
              </w:rPr>
              <w:t>4</w:t>
            </w:r>
            <w:r w:rsidR="003327A3" w:rsidRPr="00DC1011">
              <w:rPr>
                <w:bCs/>
              </w:rPr>
              <w:fldChar w:fldCharType="end"/>
            </w:r>
            <w:r w:rsidR="0068339F" w:rsidRPr="00DC1011">
              <w:rPr>
                <w:noProof/>
              </w:rPr>
              <w:drawing>
                <wp:anchor distT="0" distB="0" distL="114300" distR="114300" simplePos="0" relativeHeight="251661312" behindDoc="1" locked="0" layoutInCell="1" allowOverlap="1" wp14:anchorId="33D1462B" wp14:editId="604B1C5E">
                  <wp:simplePos x="0" y="0"/>
                  <wp:positionH relativeFrom="margin">
                    <wp:posOffset>2695575</wp:posOffset>
                  </wp:positionH>
                  <wp:positionV relativeFrom="paragraph">
                    <wp:posOffset>15240</wp:posOffset>
                  </wp:positionV>
                  <wp:extent cx="1236980" cy="640080"/>
                  <wp:effectExtent l="0" t="0" r="1270" b="762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head_spaceoar_logo_01.jpg"/>
                          <pic:cNvPicPr/>
                        </pic:nvPicPr>
                        <pic:blipFill>
                          <a:blip r:embed="rId1">
                            <a:extLst>
                              <a:ext uri="{28A0092B-C50C-407E-A947-70E740481C1C}">
                                <a14:useLocalDpi xmlns:a14="http://schemas.microsoft.com/office/drawing/2010/main" val="0"/>
                              </a:ext>
                            </a:extLst>
                          </a:blip>
                          <a:stretch>
                            <a:fillRect/>
                          </a:stretch>
                        </pic:blipFill>
                        <pic:spPr>
                          <a:xfrm>
                            <a:off x="0" y="0"/>
                            <a:ext cx="1236980" cy="640080"/>
                          </a:xfrm>
                          <a:prstGeom prst="rect">
                            <a:avLst/>
                          </a:prstGeom>
                        </pic:spPr>
                      </pic:pic>
                    </a:graphicData>
                  </a:graphic>
                </wp:anchor>
              </w:drawing>
            </w:r>
          </w:sdtContent>
        </w:sdt>
      </w:sdtContent>
    </w:sdt>
    <w:r w:rsidR="0068339F" w:rsidRPr="00DC1011">
      <w:rPr>
        <w:noProof/>
      </w:rPr>
      <w:drawing>
        <wp:anchor distT="0" distB="0" distL="114300" distR="114300" simplePos="0" relativeHeight="251662336" behindDoc="1" locked="0" layoutInCell="1" allowOverlap="1" wp14:anchorId="6B30B5E6" wp14:editId="686AC502">
          <wp:simplePos x="0" y="0"/>
          <wp:positionH relativeFrom="margin">
            <wp:posOffset>342900</wp:posOffset>
          </wp:positionH>
          <wp:positionV relativeFrom="paragraph">
            <wp:posOffset>483235</wp:posOffset>
          </wp:positionV>
          <wp:extent cx="5943600" cy="188595"/>
          <wp:effectExtent l="0" t="0" r="0" b="1905"/>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tterhead_footer_01.jpg"/>
                  <pic:cNvPicPr/>
                </pic:nvPicPr>
                <pic:blipFill>
                  <a:blip r:embed="rId2">
                    <a:extLst>
                      <a:ext uri="{28A0092B-C50C-407E-A947-70E740481C1C}">
                        <a14:useLocalDpi xmlns:a14="http://schemas.microsoft.com/office/drawing/2010/main" val="0"/>
                      </a:ext>
                    </a:extLst>
                  </a:blip>
                  <a:stretch>
                    <a:fillRect/>
                  </a:stretch>
                </pic:blipFill>
                <pic:spPr>
                  <a:xfrm>
                    <a:off x="0" y="0"/>
                    <a:ext cx="5943600" cy="18859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E7B88" w14:textId="22E012F8" w:rsidR="00DC1011" w:rsidRPr="00DC1011" w:rsidRDefault="00A86978" w:rsidP="00DC1011">
    <w:pPr>
      <w:pStyle w:val="Footer"/>
      <w:tabs>
        <w:tab w:val="clear" w:pos="4680"/>
        <w:tab w:val="clear" w:pos="9360"/>
        <w:tab w:val="right" w:pos="10440"/>
      </w:tabs>
      <w:rPr>
        <w:b/>
        <w:bCs/>
      </w:rPr>
    </w:pPr>
    <w:sdt>
      <w:sdtPr>
        <w:id w:val="-1055854160"/>
        <w:docPartObj>
          <w:docPartGallery w:val="Page Numbers (Bottom of Page)"/>
          <w:docPartUnique/>
        </w:docPartObj>
      </w:sdtPr>
      <w:sdtEndPr/>
      <w:sdtContent>
        <w:sdt>
          <w:sdtPr>
            <w:id w:val="1503387270"/>
            <w:docPartObj>
              <w:docPartGallery w:val="Page Numbers (Top of Page)"/>
              <w:docPartUnique/>
            </w:docPartObj>
          </w:sdtPr>
          <w:sdtEndPr/>
          <w:sdtContent>
            <w:r w:rsidR="00DC1011">
              <w:t>Summary</w:t>
            </w:r>
            <w:r w:rsidR="00DC1011">
              <w:tab/>
            </w:r>
            <w:r w:rsidR="00DC1011" w:rsidRPr="00DC1011">
              <w:t xml:space="preserve">Page </w:t>
            </w:r>
            <w:r w:rsidR="00DC1011" w:rsidRPr="00DC1011">
              <w:rPr>
                <w:bCs/>
              </w:rPr>
              <w:fldChar w:fldCharType="begin"/>
            </w:r>
            <w:r w:rsidR="00DC1011" w:rsidRPr="00DC1011">
              <w:rPr>
                <w:bCs/>
              </w:rPr>
              <w:instrText xml:space="preserve"> PAGE </w:instrText>
            </w:r>
            <w:r w:rsidR="00DC1011" w:rsidRPr="00DC1011">
              <w:rPr>
                <w:bCs/>
              </w:rPr>
              <w:fldChar w:fldCharType="separate"/>
            </w:r>
            <w:r w:rsidR="00323939">
              <w:rPr>
                <w:bCs/>
                <w:noProof/>
              </w:rPr>
              <w:t>2</w:t>
            </w:r>
            <w:r w:rsidR="00DC1011" w:rsidRPr="00DC1011">
              <w:rPr>
                <w:bCs/>
              </w:rPr>
              <w:fldChar w:fldCharType="end"/>
            </w:r>
            <w:r w:rsidR="00DC1011" w:rsidRPr="00DC1011">
              <w:t xml:space="preserve"> of </w:t>
            </w:r>
            <w:r w:rsidR="00DC1011" w:rsidRPr="00DC1011">
              <w:rPr>
                <w:bCs/>
              </w:rPr>
              <w:fldChar w:fldCharType="begin"/>
            </w:r>
            <w:r w:rsidR="00DC1011" w:rsidRPr="00DC1011">
              <w:rPr>
                <w:bCs/>
              </w:rPr>
              <w:instrText xml:space="preserve"> NUMPAGES  </w:instrText>
            </w:r>
            <w:r w:rsidR="00DC1011" w:rsidRPr="00DC1011">
              <w:rPr>
                <w:bCs/>
              </w:rPr>
              <w:fldChar w:fldCharType="separate"/>
            </w:r>
            <w:r w:rsidR="00323939">
              <w:rPr>
                <w:bCs/>
                <w:noProof/>
              </w:rPr>
              <w:t>4</w:t>
            </w:r>
            <w:r w:rsidR="00DC1011" w:rsidRPr="00DC1011">
              <w:rPr>
                <w:bCs/>
              </w:rPr>
              <w:fldChar w:fldCharType="end"/>
            </w:r>
            <w:r w:rsidR="00DC1011">
              <w:rPr>
                <w:noProof/>
              </w:rPr>
              <w:drawing>
                <wp:anchor distT="0" distB="0" distL="114300" distR="114300" simplePos="0" relativeHeight="251664384" behindDoc="1" locked="0" layoutInCell="1" allowOverlap="1" wp14:anchorId="4FA5CFA5" wp14:editId="271BD279">
                  <wp:simplePos x="0" y="0"/>
                  <wp:positionH relativeFrom="margin">
                    <wp:posOffset>2695575</wp:posOffset>
                  </wp:positionH>
                  <wp:positionV relativeFrom="paragraph">
                    <wp:posOffset>15240</wp:posOffset>
                  </wp:positionV>
                  <wp:extent cx="1236980" cy="640080"/>
                  <wp:effectExtent l="0" t="0" r="1270" b="762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head_spaceoar_logo_01.jpg"/>
                          <pic:cNvPicPr/>
                        </pic:nvPicPr>
                        <pic:blipFill>
                          <a:blip r:embed="rId1">
                            <a:extLst>
                              <a:ext uri="{28A0092B-C50C-407E-A947-70E740481C1C}">
                                <a14:useLocalDpi xmlns:a14="http://schemas.microsoft.com/office/drawing/2010/main" val="0"/>
                              </a:ext>
                            </a:extLst>
                          </a:blip>
                          <a:stretch>
                            <a:fillRect/>
                          </a:stretch>
                        </pic:blipFill>
                        <pic:spPr>
                          <a:xfrm>
                            <a:off x="0" y="0"/>
                            <a:ext cx="1236980" cy="640080"/>
                          </a:xfrm>
                          <a:prstGeom prst="rect">
                            <a:avLst/>
                          </a:prstGeom>
                        </pic:spPr>
                      </pic:pic>
                    </a:graphicData>
                  </a:graphic>
                </wp:anchor>
              </w:drawing>
            </w:r>
          </w:sdtContent>
        </w:sdt>
      </w:sdtContent>
    </w:sdt>
    <w:r w:rsidR="00DC1011">
      <w:rPr>
        <w:noProof/>
      </w:rPr>
      <w:drawing>
        <wp:anchor distT="0" distB="0" distL="114300" distR="114300" simplePos="0" relativeHeight="251665408" behindDoc="1" locked="0" layoutInCell="1" allowOverlap="1" wp14:anchorId="71662427" wp14:editId="7685CED8">
          <wp:simplePos x="0" y="0"/>
          <wp:positionH relativeFrom="margin">
            <wp:posOffset>342900</wp:posOffset>
          </wp:positionH>
          <wp:positionV relativeFrom="paragraph">
            <wp:posOffset>483235</wp:posOffset>
          </wp:positionV>
          <wp:extent cx="5943600" cy="188595"/>
          <wp:effectExtent l="0" t="0" r="0" b="1905"/>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tterhead_footer_01.jpg"/>
                  <pic:cNvPicPr/>
                </pic:nvPicPr>
                <pic:blipFill>
                  <a:blip r:embed="rId2">
                    <a:extLst>
                      <a:ext uri="{28A0092B-C50C-407E-A947-70E740481C1C}">
                        <a14:useLocalDpi xmlns:a14="http://schemas.microsoft.com/office/drawing/2010/main" val="0"/>
                      </a:ext>
                    </a:extLst>
                  </a:blip>
                  <a:stretch>
                    <a:fillRect/>
                  </a:stretch>
                </pic:blipFill>
                <pic:spPr>
                  <a:xfrm>
                    <a:off x="0" y="0"/>
                    <a:ext cx="5943600" cy="18859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051E7" w14:textId="77777777" w:rsidR="00A86978" w:rsidRDefault="00A86978" w:rsidP="000248EC">
      <w:pPr>
        <w:spacing w:after="0" w:line="240" w:lineRule="auto"/>
      </w:pPr>
      <w:r>
        <w:separator/>
      </w:r>
    </w:p>
  </w:footnote>
  <w:footnote w:type="continuationSeparator" w:id="0">
    <w:p w14:paraId="674E462C" w14:textId="77777777" w:rsidR="00A86978" w:rsidRDefault="00A86978" w:rsidP="000248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B0B3C" w14:textId="77777777" w:rsidR="000248EC" w:rsidRDefault="000248EC">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EBD44" w14:textId="38D27239" w:rsidR="0041127A" w:rsidRDefault="0068339F">
    <w:pPr>
      <w:pStyle w:val="Header"/>
    </w:pPr>
    <w:r>
      <w:rPr>
        <w:noProof/>
      </w:rPr>
      <w:drawing>
        <wp:anchor distT="0" distB="0" distL="114300" distR="114300" simplePos="0" relativeHeight="251659264" behindDoc="1" locked="0" layoutInCell="1" allowOverlap="1" wp14:anchorId="7C74BA76" wp14:editId="39509E7F">
          <wp:simplePos x="0" y="0"/>
          <wp:positionH relativeFrom="margin">
            <wp:posOffset>2495550</wp:posOffset>
          </wp:positionH>
          <wp:positionV relativeFrom="paragraph">
            <wp:posOffset>19050</wp:posOffset>
          </wp:positionV>
          <wp:extent cx="1636776" cy="960120"/>
          <wp:effectExtent l="0" t="0" r="1905"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_augmenix_logo_01.jpg"/>
                  <pic:cNvPicPr/>
                </pic:nvPicPr>
                <pic:blipFill>
                  <a:blip r:embed="rId1">
                    <a:extLst>
                      <a:ext uri="{28A0092B-C50C-407E-A947-70E740481C1C}">
                        <a14:useLocalDpi xmlns:a14="http://schemas.microsoft.com/office/drawing/2010/main" val="0"/>
                      </a:ext>
                    </a:extLst>
                  </a:blip>
                  <a:stretch>
                    <a:fillRect/>
                  </a:stretch>
                </pic:blipFill>
                <pic:spPr>
                  <a:xfrm>
                    <a:off x="0" y="0"/>
                    <a:ext cx="1636776" cy="96012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58503" w14:textId="4AF74C49" w:rsidR="00DC1011" w:rsidRDefault="00DC10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A1743"/>
    <w:multiLevelType w:val="hybridMultilevel"/>
    <w:tmpl w:val="489C0630"/>
    <w:lvl w:ilvl="0" w:tplc="433220A0">
      <w:numFmt w:val="bullet"/>
      <w:lvlText w:val="•"/>
      <w:lvlJc w:val="left"/>
      <w:pPr>
        <w:ind w:left="360" w:hanging="360"/>
      </w:pPr>
      <w:rPr>
        <w:rFonts w:ascii="Calibri Light" w:eastAsia="AKJZRS+TimesNewRomanPSMT" w:hAnsi="Calibri Light"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955CD4"/>
    <w:multiLevelType w:val="hybridMultilevel"/>
    <w:tmpl w:val="E7C2819C"/>
    <w:lvl w:ilvl="0" w:tplc="433220A0">
      <w:numFmt w:val="bullet"/>
      <w:lvlText w:val="•"/>
      <w:lvlJc w:val="left"/>
      <w:pPr>
        <w:ind w:left="360" w:hanging="360"/>
      </w:pPr>
      <w:rPr>
        <w:rFonts w:ascii="Calibri Light" w:eastAsia="AKJZRS+TimesNewRomanPSMT" w:hAnsi="Calibri Light"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9A75F5"/>
    <w:multiLevelType w:val="hybridMultilevel"/>
    <w:tmpl w:val="333E2BEC"/>
    <w:lvl w:ilvl="0" w:tplc="433220A0">
      <w:numFmt w:val="bullet"/>
      <w:lvlText w:val="•"/>
      <w:lvlJc w:val="left"/>
      <w:pPr>
        <w:ind w:left="360" w:hanging="360"/>
      </w:pPr>
      <w:rPr>
        <w:rFonts w:ascii="Calibri Light" w:eastAsia="AKJZRS+TimesNewRomanPSMT" w:hAnsi="Calibri Light"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155664"/>
    <w:multiLevelType w:val="hybridMultilevel"/>
    <w:tmpl w:val="132CBC8E"/>
    <w:lvl w:ilvl="0" w:tplc="433220A0">
      <w:numFmt w:val="bullet"/>
      <w:lvlText w:val="•"/>
      <w:lvlJc w:val="left"/>
      <w:pPr>
        <w:ind w:left="360" w:hanging="360"/>
      </w:pPr>
      <w:rPr>
        <w:rFonts w:ascii="Calibri Light" w:eastAsia="AKJZRS+TimesNewRomanPSMT" w:hAnsi="Calibri Light"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9E4BC8"/>
    <w:multiLevelType w:val="hybridMultilevel"/>
    <w:tmpl w:val="E0D2984E"/>
    <w:lvl w:ilvl="0" w:tplc="433220A0">
      <w:numFmt w:val="bullet"/>
      <w:lvlText w:val="•"/>
      <w:lvlJc w:val="left"/>
      <w:pPr>
        <w:ind w:left="360" w:hanging="360"/>
      </w:pPr>
      <w:rPr>
        <w:rFonts w:ascii="Calibri Light" w:eastAsia="AKJZRS+TimesNewRomanPSMT" w:hAnsi="Calibri Light"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9BE43EE"/>
    <w:multiLevelType w:val="hybridMultilevel"/>
    <w:tmpl w:val="84960F7C"/>
    <w:lvl w:ilvl="0" w:tplc="433220A0">
      <w:numFmt w:val="bullet"/>
      <w:lvlText w:val="•"/>
      <w:lvlJc w:val="left"/>
      <w:pPr>
        <w:ind w:left="360" w:hanging="360"/>
      </w:pPr>
      <w:rPr>
        <w:rFonts w:ascii="Calibri Light" w:eastAsia="AKJZRS+TimesNewRomanPSMT" w:hAnsi="Calibri Light"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1241DA7"/>
    <w:multiLevelType w:val="hybridMultilevel"/>
    <w:tmpl w:val="B2840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9A80498"/>
    <w:multiLevelType w:val="hybridMultilevel"/>
    <w:tmpl w:val="C428CB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3"/>
  </w:num>
  <w:num w:numId="5">
    <w:abstractNumId w:val="2"/>
  </w:num>
  <w:num w:numId="6">
    <w:abstractNumId w:val="0"/>
  </w:num>
  <w:num w:numId="7">
    <w:abstractNumId w:val="1"/>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ooterHasDocNum" w:val="True"/>
  </w:docVars>
  <w:rsids>
    <w:rsidRoot w:val="00934418"/>
    <w:rsid w:val="00012A8C"/>
    <w:rsid w:val="000248EC"/>
    <w:rsid w:val="00027BC7"/>
    <w:rsid w:val="0003149B"/>
    <w:rsid w:val="000568A4"/>
    <w:rsid w:val="0007519C"/>
    <w:rsid w:val="000771A6"/>
    <w:rsid w:val="00086DE8"/>
    <w:rsid w:val="000D2884"/>
    <w:rsid w:val="000E3DC5"/>
    <w:rsid w:val="00100937"/>
    <w:rsid w:val="00105B31"/>
    <w:rsid w:val="0011252B"/>
    <w:rsid w:val="00131B54"/>
    <w:rsid w:val="00140155"/>
    <w:rsid w:val="00150C69"/>
    <w:rsid w:val="00150ECF"/>
    <w:rsid w:val="00166CFD"/>
    <w:rsid w:val="001746CD"/>
    <w:rsid w:val="001D3CA0"/>
    <w:rsid w:val="00221232"/>
    <w:rsid w:val="002466A8"/>
    <w:rsid w:val="00250F25"/>
    <w:rsid w:val="00253139"/>
    <w:rsid w:val="0025771E"/>
    <w:rsid w:val="0026461F"/>
    <w:rsid w:val="00277EF9"/>
    <w:rsid w:val="00296B9D"/>
    <w:rsid w:val="002C6391"/>
    <w:rsid w:val="002D78CE"/>
    <w:rsid w:val="002E01D1"/>
    <w:rsid w:val="002E06BF"/>
    <w:rsid w:val="00302EEC"/>
    <w:rsid w:val="00323939"/>
    <w:rsid w:val="003327A3"/>
    <w:rsid w:val="003409B0"/>
    <w:rsid w:val="00344BFE"/>
    <w:rsid w:val="00360D5C"/>
    <w:rsid w:val="003857A3"/>
    <w:rsid w:val="00386237"/>
    <w:rsid w:val="003876EB"/>
    <w:rsid w:val="00387A09"/>
    <w:rsid w:val="003A29CA"/>
    <w:rsid w:val="003A36BB"/>
    <w:rsid w:val="003C2B69"/>
    <w:rsid w:val="003C469F"/>
    <w:rsid w:val="003C5907"/>
    <w:rsid w:val="003D529F"/>
    <w:rsid w:val="003E5996"/>
    <w:rsid w:val="003E7E12"/>
    <w:rsid w:val="003F2DA5"/>
    <w:rsid w:val="003F3C06"/>
    <w:rsid w:val="004109D2"/>
    <w:rsid w:val="0041127A"/>
    <w:rsid w:val="004309CA"/>
    <w:rsid w:val="00436162"/>
    <w:rsid w:val="00445617"/>
    <w:rsid w:val="00450FF9"/>
    <w:rsid w:val="00456576"/>
    <w:rsid w:val="00473616"/>
    <w:rsid w:val="004B609E"/>
    <w:rsid w:val="004B736D"/>
    <w:rsid w:val="004D55C0"/>
    <w:rsid w:val="004E03AE"/>
    <w:rsid w:val="004E0EFE"/>
    <w:rsid w:val="004E5BCD"/>
    <w:rsid w:val="005062C5"/>
    <w:rsid w:val="00511318"/>
    <w:rsid w:val="005116F8"/>
    <w:rsid w:val="00511977"/>
    <w:rsid w:val="005132B2"/>
    <w:rsid w:val="005167E8"/>
    <w:rsid w:val="00517248"/>
    <w:rsid w:val="00535A2C"/>
    <w:rsid w:val="00555270"/>
    <w:rsid w:val="0055579A"/>
    <w:rsid w:val="005B4E70"/>
    <w:rsid w:val="005D15E0"/>
    <w:rsid w:val="005D3D36"/>
    <w:rsid w:val="005E3BF6"/>
    <w:rsid w:val="00601E52"/>
    <w:rsid w:val="0060278C"/>
    <w:rsid w:val="00610A6A"/>
    <w:rsid w:val="00624994"/>
    <w:rsid w:val="0063027A"/>
    <w:rsid w:val="00633591"/>
    <w:rsid w:val="006377A1"/>
    <w:rsid w:val="00643EEB"/>
    <w:rsid w:val="0064529E"/>
    <w:rsid w:val="006546B2"/>
    <w:rsid w:val="00657941"/>
    <w:rsid w:val="0067157D"/>
    <w:rsid w:val="00680C24"/>
    <w:rsid w:val="0068339F"/>
    <w:rsid w:val="006852AF"/>
    <w:rsid w:val="00691A23"/>
    <w:rsid w:val="006B2B4A"/>
    <w:rsid w:val="006B5DAA"/>
    <w:rsid w:val="006B7974"/>
    <w:rsid w:val="006C0144"/>
    <w:rsid w:val="006C21F5"/>
    <w:rsid w:val="006E46E9"/>
    <w:rsid w:val="006E5DD1"/>
    <w:rsid w:val="006E6B20"/>
    <w:rsid w:val="006F099A"/>
    <w:rsid w:val="006F645F"/>
    <w:rsid w:val="007202B5"/>
    <w:rsid w:val="007239B2"/>
    <w:rsid w:val="00723C81"/>
    <w:rsid w:val="007258C1"/>
    <w:rsid w:val="00750CFC"/>
    <w:rsid w:val="00753B60"/>
    <w:rsid w:val="0076224F"/>
    <w:rsid w:val="00770DFC"/>
    <w:rsid w:val="00777597"/>
    <w:rsid w:val="00787878"/>
    <w:rsid w:val="00794899"/>
    <w:rsid w:val="007B1728"/>
    <w:rsid w:val="007C684D"/>
    <w:rsid w:val="007C7221"/>
    <w:rsid w:val="007C7C78"/>
    <w:rsid w:val="007D3503"/>
    <w:rsid w:val="007E0C61"/>
    <w:rsid w:val="00802CD5"/>
    <w:rsid w:val="00810D04"/>
    <w:rsid w:val="0083392A"/>
    <w:rsid w:val="0083608E"/>
    <w:rsid w:val="008419D8"/>
    <w:rsid w:val="00890D2D"/>
    <w:rsid w:val="00892730"/>
    <w:rsid w:val="008D03C8"/>
    <w:rsid w:val="008D5201"/>
    <w:rsid w:val="008F63E1"/>
    <w:rsid w:val="00915E3B"/>
    <w:rsid w:val="00934418"/>
    <w:rsid w:val="00940097"/>
    <w:rsid w:val="00955350"/>
    <w:rsid w:val="0095588C"/>
    <w:rsid w:val="00976AF0"/>
    <w:rsid w:val="009B128A"/>
    <w:rsid w:val="009B18A2"/>
    <w:rsid w:val="009B3B53"/>
    <w:rsid w:val="009C19A9"/>
    <w:rsid w:val="009C1BFE"/>
    <w:rsid w:val="009D5FFB"/>
    <w:rsid w:val="009F36A3"/>
    <w:rsid w:val="00A1580A"/>
    <w:rsid w:val="00A174BD"/>
    <w:rsid w:val="00A20389"/>
    <w:rsid w:val="00A21CD9"/>
    <w:rsid w:val="00A66AF7"/>
    <w:rsid w:val="00A734B6"/>
    <w:rsid w:val="00A80128"/>
    <w:rsid w:val="00A86978"/>
    <w:rsid w:val="00AA2219"/>
    <w:rsid w:val="00AA2A25"/>
    <w:rsid w:val="00AB5287"/>
    <w:rsid w:val="00AE0D50"/>
    <w:rsid w:val="00AE4B8C"/>
    <w:rsid w:val="00AE7A21"/>
    <w:rsid w:val="00B0260B"/>
    <w:rsid w:val="00B07B54"/>
    <w:rsid w:val="00B15872"/>
    <w:rsid w:val="00B235A4"/>
    <w:rsid w:val="00B33E7D"/>
    <w:rsid w:val="00B46E39"/>
    <w:rsid w:val="00B53D8B"/>
    <w:rsid w:val="00B71BF6"/>
    <w:rsid w:val="00B810F9"/>
    <w:rsid w:val="00BA0497"/>
    <w:rsid w:val="00BB32C0"/>
    <w:rsid w:val="00BC3BFA"/>
    <w:rsid w:val="00BE53AF"/>
    <w:rsid w:val="00C370A6"/>
    <w:rsid w:val="00C52492"/>
    <w:rsid w:val="00C54139"/>
    <w:rsid w:val="00C80F05"/>
    <w:rsid w:val="00C8171F"/>
    <w:rsid w:val="00C87FC2"/>
    <w:rsid w:val="00C97117"/>
    <w:rsid w:val="00CA10DF"/>
    <w:rsid w:val="00CA78BC"/>
    <w:rsid w:val="00CB0543"/>
    <w:rsid w:val="00CB5425"/>
    <w:rsid w:val="00CB7DE8"/>
    <w:rsid w:val="00CC6514"/>
    <w:rsid w:val="00CD167E"/>
    <w:rsid w:val="00CF3130"/>
    <w:rsid w:val="00D14C76"/>
    <w:rsid w:val="00D50441"/>
    <w:rsid w:val="00D802BC"/>
    <w:rsid w:val="00D9582F"/>
    <w:rsid w:val="00DB5C19"/>
    <w:rsid w:val="00DC1011"/>
    <w:rsid w:val="00DD0ED7"/>
    <w:rsid w:val="00DF3757"/>
    <w:rsid w:val="00E02CA6"/>
    <w:rsid w:val="00E11802"/>
    <w:rsid w:val="00E154D1"/>
    <w:rsid w:val="00E52941"/>
    <w:rsid w:val="00E5367A"/>
    <w:rsid w:val="00E53894"/>
    <w:rsid w:val="00E66C42"/>
    <w:rsid w:val="00E76CF9"/>
    <w:rsid w:val="00E86979"/>
    <w:rsid w:val="00E94073"/>
    <w:rsid w:val="00EA3ACD"/>
    <w:rsid w:val="00EC0E20"/>
    <w:rsid w:val="00EF6C76"/>
    <w:rsid w:val="00F10187"/>
    <w:rsid w:val="00F11891"/>
    <w:rsid w:val="00F533B4"/>
    <w:rsid w:val="00F6739D"/>
    <w:rsid w:val="00F91D00"/>
    <w:rsid w:val="00FA6FEE"/>
    <w:rsid w:val="00FA7624"/>
    <w:rsid w:val="00FB6C2C"/>
    <w:rsid w:val="00FC0449"/>
    <w:rsid w:val="00FC36F7"/>
    <w:rsid w:val="00FC7CE8"/>
    <w:rsid w:val="00FD59F7"/>
    <w:rsid w:val="00FF0BBA"/>
    <w:rsid w:val="00FF56B1"/>
    <w:rsid w:val="00FF78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3CBD2C"/>
  <w15:docId w15:val="{40A44F44-4AB0-4C8D-A168-E2951FDB9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2A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70DF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4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418"/>
    <w:rPr>
      <w:rFonts w:ascii="Tahoma" w:hAnsi="Tahoma" w:cs="Tahoma"/>
      <w:sz w:val="16"/>
      <w:szCs w:val="16"/>
    </w:rPr>
  </w:style>
  <w:style w:type="paragraph" w:styleId="ListParagraph">
    <w:name w:val="List Paragraph"/>
    <w:basedOn w:val="Normal"/>
    <w:uiPriority w:val="34"/>
    <w:qFormat/>
    <w:rsid w:val="004E03AE"/>
    <w:pPr>
      <w:ind w:left="720"/>
      <w:contextualSpacing/>
    </w:pPr>
  </w:style>
  <w:style w:type="character" w:styleId="Hyperlink">
    <w:name w:val="Hyperlink"/>
    <w:basedOn w:val="DefaultParagraphFont"/>
    <w:uiPriority w:val="99"/>
    <w:unhideWhenUsed/>
    <w:rsid w:val="00976AF0"/>
    <w:rPr>
      <w:color w:val="0000FF" w:themeColor="hyperlink"/>
      <w:u w:val="single"/>
    </w:rPr>
  </w:style>
  <w:style w:type="paragraph" w:styleId="Header">
    <w:name w:val="header"/>
    <w:basedOn w:val="Normal"/>
    <w:link w:val="HeaderChar"/>
    <w:uiPriority w:val="99"/>
    <w:unhideWhenUsed/>
    <w:rsid w:val="000248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8EC"/>
  </w:style>
  <w:style w:type="paragraph" w:styleId="Footer">
    <w:name w:val="footer"/>
    <w:basedOn w:val="Normal"/>
    <w:link w:val="FooterChar"/>
    <w:uiPriority w:val="99"/>
    <w:unhideWhenUsed/>
    <w:rsid w:val="000248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8EC"/>
  </w:style>
  <w:style w:type="table" w:styleId="TableGrid">
    <w:name w:val="Table Grid"/>
    <w:basedOn w:val="TableNormal"/>
    <w:uiPriority w:val="39"/>
    <w:rsid w:val="00411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12A8C"/>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12A8C"/>
    <w:pPr>
      <w:spacing w:after="0" w:line="240" w:lineRule="auto"/>
    </w:pPr>
  </w:style>
  <w:style w:type="paragraph" w:customStyle="1" w:styleId="FooterInfo">
    <w:name w:val="FooterInfo"/>
    <w:basedOn w:val="Normal"/>
    <w:next w:val="Footer"/>
    <w:link w:val="FooterInfoChar"/>
    <w:rsid w:val="00AA2219"/>
    <w:pPr>
      <w:tabs>
        <w:tab w:val="center" w:pos="4680"/>
        <w:tab w:val="right" w:pos="9360"/>
      </w:tabs>
    </w:pPr>
  </w:style>
  <w:style w:type="character" w:customStyle="1" w:styleId="FooterInfoChar">
    <w:name w:val="FooterInfo Char"/>
    <w:basedOn w:val="DefaultParagraphFont"/>
    <w:link w:val="FooterInfo"/>
    <w:rsid w:val="00AA2219"/>
  </w:style>
  <w:style w:type="paragraph" w:styleId="FootnoteText">
    <w:name w:val="footnote text"/>
    <w:basedOn w:val="Normal"/>
    <w:link w:val="FootnoteTextChar"/>
    <w:semiHidden/>
    <w:rsid w:val="00166CFD"/>
    <w:pPr>
      <w:tabs>
        <w:tab w:val="left" w:pos="720"/>
      </w:tabs>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66CFD"/>
    <w:rPr>
      <w:rFonts w:ascii="Times New Roman" w:eastAsia="Times New Roman" w:hAnsi="Times New Roman" w:cs="Times New Roman"/>
      <w:sz w:val="20"/>
      <w:szCs w:val="20"/>
    </w:rPr>
  </w:style>
  <w:style w:type="character" w:styleId="FootnoteReference">
    <w:name w:val="footnote reference"/>
    <w:semiHidden/>
    <w:rsid w:val="00166CFD"/>
    <w:rPr>
      <w:rFonts w:cs="Times New Roman"/>
      <w:color w:val="000000"/>
      <w:position w:val="0"/>
      <w:sz w:val="22"/>
      <w:u w:val="none"/>
      <w:vertAlign w:val="superscript"/>
    </w:rPr>
  </w:style>
  <w:style w:type="character" w:styleId="CommentReference">
    <w:name w:val="annotation reference"/>
    <w:semiHidden/>
    <w:rsid w:val="00166CFD"/>
    <w:rPr>
      <w:sz w:val="16"/>
      <w:szCs w:val="16"/>
    </w:rPr>
  </w:style>
  <w:style w:type="paragraph" w:styleId="CommentText">
    <w:name w:val="annotation text"/>
    <w:basedOn w:val="Normal"/>
    <w:link w:val="CommentTextChar"/>
    <w:semiHidden/>
    <w:rsid w:val="00166CF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166CFD"/>
    <w:rPr>
      <w:rFonts w:ascii="Times New Roman" w:eastAsia="Times New Roman" w:hAnsi="Times New Roman" w:cs="Times New Roman"/>
      <w:sz w:val="20"/>
      <w:szCs w:val="20"/>
    </w:rPr>
  </w:style>
  <w:style w:type="paragraph" w:customStyle="1" w:styleId="Default">
    <w:name w:val="Default"/>
    <w:rsid w:val="006C21F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semiHidden/>
    <w:rsid w:val="00770DFC"/>
    <w:rPr>
      <w:rFonts w:asciiTheme="majorHAnsi" w:eastAsiaTheme="majorEastAsia" w:hAnsiTheme="majorHAnsi" w:cstheme="majorBidi"/>
      <w:color w:val="365F91" w:themeColor="accent1" w:themeShade="BF"/>
      <w:sz w:val="26"/>
      <w:szCs w:val="26"/>
    </w:rPr>
  </w:style>
  <w:style w:type="paragraph" w:styleId="CommentSubject">
    <w:name w:val="annotation subject"/>
    <w:basedOn w:val="CommentText"/>
    <w:next w:val="CommentText"/>
    <w:link w:val="CommentSubjectChar"/>
    <w:uiPriority w:val="99"/>
    <w:semiHidden/>
    <w:unhideWhenUsed/>
    <w:rsid w:val="005E3BF6"/>
    <w:pPr>
      <w:spacing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5E3BF6"/>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56877">
      <w:bodyDiv w:val="1"/>
      <w:marLeft w:val="0"/>
      <w:marRight w:val="0"/>
      <w:marTop w:val="0"/>
      <w:marBottom w:val="0"/>
      <w:divBdr>
        <w:top w:val="none" w:sz="0" w:space="0" w:color="auto"/>
        <w:left w:val="none" w:sz="0" w:space="0" w:color="auto"/>
        <w:bottom w:val="none" w:sz="0" w:space="0" w:color="auto"/>
        <w:right w:val="none" w:sz="0" w:space="0" w:color="auto"/>
      </w:divBdr>
      <w:divsChild>
        <w:div w:id="711348526">
          <w:marLeft w:val="0"/>
          <w:marRight w:val="0"/>
          <w:marTop w:val="0"/>
          <w:marBottom w:val="0"/>
          <w:divBdr>
            <w:top w:val="none" w:sz="0" w:space="0" w:color="auto"/>
            <w:left w:val="none" w:sz="0" w:space="0" w:color="auto"/>
            <w:bottom w:val="none" w:sz="0" w:space="0" w:color="auto"/>
            <w:right w:val="none" w:sz="0" w:space="0" w:color="auto"/>
          </w:divBdr>
          <w:divsChild>
            <w:div w:id="1529249665">
              <w:marLeft w:val="0"/>
              <w:marRight w:val="0"/>
              <w:marTop w:val="0"/>
              <w:marBottom w:val="0"/>
              <w:divBdr>
                <w:top w:val="none" w:sz="0" w:space="0" w:color="auto"/>
                <w:left w:val="none" w:sz="0" w:space="0" w:color="auto"/>
                <w:bottom w:val="none" w:sz="0" w:space="0" w:color="auto"/>
                <w:right w:val="none" w:sz="0" w:space="0" w:color="auto"/>
              </w:divBdr>
              <w:divsChild>
                <w:div w:id="724794943">
                  <w:marLeft w:val="0"/>
                  <w:marRight w:val="0"/>
                  <w:marTop w:val="0"/>
                  <w:marBottom w:val="0"/>
                  <w:divBdr>
                    <w:top w:val="none" w:sz="0" w:space="0" w:color="auto"/>
                    <w:left w:val="none" w:sz="0" w:space="0" w:color="auto"/>
                    <w:bottom w:val="none" w:sz="0" w:space="0" w:color="auto"/>
                    <w:right w:val="none" w:sz="0" w:space="0" w:color="auto"/>
                  </w:divBdr>
                  <w:divsChild>
                    <w:div w:id="4788593">
                      <w:marLeft w:val="0"/>
                      <w:marRight w:val="0"/>
                      <w:marTop w:val="300"/>
                      <w:marBottom w:val="300"/>
                      <w:divBdr>
                        <w:top w:val="none" w:sz="0" w:space="0" w:color="auto"/>
                        <w:left w:val="none" w:sz="0" w:space="0" w:color="auto"/>
                        <w:bottom w:val="none" w:sz="0" w:space="0" w:color="auto"/>
                        <w:right w:val="none" w:sz="0" w:space="0" w:color="auto"/>
                      </w:divBdr>
                    </w:div>
                    <w:div w:id="469521759">
                      <w:marLeft w:val="0"/>
                      <w:marRight w:val="0"/>
                      <w:marTop w:val="0"/>
                      <w:marBottom w:val="0"/>
                      <w:divBdr>
                        <w:top w:val="none" w:sz="0" w:space="0" w:color="auto"/>
                        <w:left w:val="none" w:sz="0" w:space="0" w:color="auto"/>
                        <w:bottom w:val="none" w:sz="0" w:space="0" w:color="auto"/>
                        <w:right w:val="none" w:sz="0" w:space="0" w:color="auto"/>
                      </w:divBdr>
                    </w:div>
                    <w:div w:id="1102795270">
                      <w:marLeft w:val="0"/>
                      <w:marRight w:val="0"/>
                      <w:marTop w:val="0"/>
                      <w:marBottom w:val="0"/>
                      <w:divBdr>
                        <w:top w:val="none" w:sz="0" w:space="0" w:color="auto"/>
                        <w:left w:val="none" w:sz="0" w:space="0" w:color="auto"/>
                        <w:bottom w:val="none" w:sz="0" w:space="0" w:color="auto"/>
                        <w:right w:val="none" w:sz="0" w:space="0" w:color="auto"/>
                      </w:divBdr>
                    </w:div>
                    <w:div w:id="1214073658">
                      <w:marLeft w:val="0"/>
                      <w:marRight w:val="0"/>
                      <w:marTop w:val="0"/>
                      <w:marBottom w:val="0"/>
                      <w:divBdr>
                        <w:top w:val="none" w:sz="0" w:space="0" w:color="auto"/>
                        <w:left w:val="none" w:sz="0" w:space="0" w:color="auto"/>
                        <w:bottom w:val="none" w:sz="0" w:space="0" w:color="auto"/>
                        <w:right w:val="none" w:sz="0" w:space="0" w:color="auto"/>
                      </w:divBdr>
                    </w:div>
                    <w:div w:id="360983432">
                      <w:marLeft w:val="0"/>
                      <w:marRight w:val="0"/>
                      <w:marTop w:val="0"/>
                      <w:marBottom w:val="0"/>
                      <w:divBdr>
                        <w:top w:val="none" w:sz="0" w:space="0" w:color="auto"/>
                        <w:left w:val="none" w:sz="0" w:space="0" w:color="auto"/>
                        <w:bottom w:val="none" w:sz="0" w:space="0" w:color="auto"/>
                        <w:right w:val="none" w:sz="0" w:space="0" w:color="auto"/>
                      </w:divBdr>
                    </w:div>
                    <w:div w:id="194198909">
                      <w:marLeft w:val="0"/>
                      <w:marRight w:val="0"/>
                      <w:marTop w:val="0"/>
                      <w:marBottom w:val="0"/>
                      <w:divBdr>
                        <w:top w:val="none" w:sz="0" w:space="0" w:color="auto"/>
                        <w:left w:val="none" w:sz="0" w:space="0" w:color="auto"/>
                        <w:bottom w:val="none" w:sz="0" w:space="0" w:color="auto"/>
                        <w:right w:val="none" w:sz="0" w:space="0" w:color="auto"/>
                      </w:divBdr>
                    </w:div>
                    <w:div w:id="1896117031">
                      <w:marLeft w:val="0"/>
                      <w:marRight w:val="0"/>
                      <w:marTop w:val="0"/>
                      <w:marBottom w:val="0"/>
                      <w:divBdr>
                        <w:top w:val="none" w:sz="0" w:space="0" w:color="auto"/>
                        <w:left w:val="none" w:sz="0" w:space="0" w:color="auto"/>
                        <w:bottom w:val="none" w:sz="0" w:space="0" w:color="auto"/>
                        <w:right w:val="none" w:sz="0" w:space="0" w:color="auto"/>
                      </w:divBdr>
                    </w:div>
                    <w:div w:id="1127818579">
                      <w:marLeft w:val="0"/>
                      <w:marRight w:val="0"/>
                      <w:marTop w:val="0"/>
                      <w:marBottom w:val="0"/>
                      <w:divBdr>
                        <w:top w:val="none" w:sz="0" w:space="0" w:color="auto"/>
                        <w:left w:val="none" w:sz="0" w:space="0" w:color="auto"/>
                        <w:bottom w:val="none" w:sz="0" w:space="0" w:color="auto"/>
                        <w:right w:val="none" w:sz="0" w:space="0" w:color="auto"/>
                      </w:divBdr>
                    </w:div>
                    <w:div w:id="12802925">
                      <w:marLeft w:val="0"/>
                      <w:marRight w:val="0"/>
                      <w:marTop w:val="0"/>
                      <w:marBottom w:val="0"/>
                      <w:divBdr>
                        <w:top w:val="none" w:sz="0" w:space="0" w:color="auto"/>
                        <w:left w:val="none" w:sz="0" w:space="0" w:color="auto"/>
                        <w:bottom w:val="none" w:sz="0" w:space="0" w:color="auto"/>
                        <w:right w:val="none" w:sz="0" w:space="0" w:color="auto"/>
                      </w:divBdr>
                    </w:div>
                    <w:div w:id="2085102545">
                      <w:marLeft w:val="0"/>
                      <w:marRight w:val="0"/>
                      <w:marTop w:val="0"/>
                      <w:marBottom w:val="0"/>
                      <w:divBdr>
                        <w:top w:val="none" w:sz="0" w:space="0" w:color="auto"/>
                        <w:left w:val="none" w:sz="0" w:space="0" w:color="auto"/>
                        <w:bottom w:val="none" w:sz="0" w:space="0" w:color="auto"/>
                        <w:right w:val="none" w:sz="0" w:space="0" w:color="auto"/>
                      </w:divBdr>
                    </w:div>
                    <w:div w:id="483664315">
                      <w:marLeft w:val="0"/>
                      <w:marRight w:val="0"/>
                      <w:marTop w:val="0"/>
                      <w:marBottom w:val="0"/>
                      <w:divBdr>
                        <w:top w:val="none" w:sz="0" w:space="0" w:color="auto"/>
                        <w:left w:val="none" w:sz="0" w:space="0" w:color="auto"/>
                        <w:bottom w:val="none" w:sz="0" w:space="0" w:color="auto"/>
                        <w:right w:val="none" w:sz="0" w:space="0" w:color="auto"/>
                      </w:divBdr>
                    </w:div>
                    <w:div w:id="316155099">
                      <w:marLeft w:val="0"/>
                      <w:marRight w:val="0"/>
                      <w:marTop w:val="0"/>
                      <w:marBottom w:val="0"/>
                      <w:divBdr>
                        <w:top w:val="none" w:sz="0" w:space="0" w:color="auto"/>
                        <w:left w:val="none" w:sz="0" w:space="0" w:color="auto"/>
                        <w:bottom w:val="none" w:sz="0" w:space="0" w:color="auto"/>
                        <w:right w:val="none" w:sz="0" w:space="0" w:color="auto"/>
                      </w:divBdr>
                    </w:div>
                    <w:div w:id="2094423980">
                      <w:marLeft w:val="0"/>
                      <w:marRight w:val="0"/>
                      <w:marTop w:val="0"/>
                      <w:marBottom w:val="0"/>
                      <w:divBdr>
                        <w:top w:val="none" w:sz="0" w:space="0" w:color="auto"/>
                        <w:left w:val="none" w:sz="0" w:space="0" w:color="auto"/>
                        <w:bottom w:val="none" w:sz="0" w:space="0" w:color="auto"/>
                        <w:right w:val="none" w:sz="0" w:space="0" w:color="auto"/>
                      </w:divBdr>
                    </w:div>
                    <w:div w:id="1799371695">
                      <w:marLeft w:val="0"/>
                      <w:marRight w:val="0"/>
                      <w:marTop w:val="0"/>
                      <w:marBottom w:val="0"/>
                      <w:divBdr>
                        <w:top w:val="none" w:sz="0" w:space="0" w:color="auto"/>
                        <w:left w:val="none" w:sz="0" w:space="0" w:color="auto"/>
                        <w:bottom w:val="none" w:sz="0" w:space="0" w:color="auto"/>
                        <w:right w:val="none" w:sz="0" w:space="0" w:color="auto"/>
                      </w:divBdr>
                    </w:div>
                    <w:div w:id="1276137241">
                      <w:marLeft w:val="0"/>
                      <w:marRight w:val="0"/>
                      <w:marTop w:val="0"/>
                      <w:marBottom w:val="0"/>
                      <w:divBdr>
                        <w:top w:val="none" w:sz="0" w:space="0" w:color="auto"/>
                        <w:left w:val="none" w:sz="0" w:space="0" w:color="auto"/>
                        <w:bottom w:val="none" w:sz="0" w:space="0" w:color="auto"/>
                        <w:right w:val="none" w:sz="0" w:space="0" w:color="auto"/>
                      </w:divBdr>
                    </w:div>
                    <w:div w:id="350881438">
                      <w:marLeft w:val="0"/>
                      <w:marRight w:val="0"/>
                      <w:marTop w:val="0"/>
                      <w:marBottom w:val="0"/>
                      <w:divBdr>
                        <w:top w:val="none" w:sz="0" w:space="0" w:color="auto"/>
                        <w:left w:val="none" w:sz="0" w:space="0" w:color="auto"/>
                        <w:bottom w:val="none" w:sz="0" w:space="0" w:color="auto"/>
                        <w:right w:val="none" w:sz="0" w:space="0" w:color="auto"/>
                      </w:divBdr>
                    </w:div>
                    <w:div w:id="1450079208">
                      <w:marLeft w:val="0"/>
                      <w:marRight w:val="0"/>
                      <w:marTop w:val="0"/>
                      <w:marBottom w:val="0"/>
                      <w:divBdr>
                        <w:top w:val="none" w:sz="0" w:space="0" w:color="auto"/>
                        <w:left w:val="none" w:sz="0" w:space="0" w:color="auto"/>
                        <w:bottom w:val="none" w:sz="0" w:space="0" w:color="auto"/>
                        <w:right w:val="none" w:sz="0" w:space="0" w:color="auto"/>
                      </w:divBdr>
                    </w:div>
                    <w:div w:id="1097747420">
                      <w:marLeft w:val="0"/>
                      <w:marRight w:val="0"/>
                      <w:marTop w:val="0"/>
                      <w:marBottom w:val="0"/>
                      <w:divBdr>
                        <w:top w:val="none" w:sz="0" w:space="0" w:color="auto"/>
                        <w:left w:val="none" w:sz="0" w:space="0" w:color="auto"/>
                        <w:bottom w:val="none" w:sz="0" w:space="0" w:color="auto"/>
                        <w:right w:val="none" w:sz="0" w:space="0" w:color="auto"/>
                      </w:divBdr>
                    </w:div>
                    <w:div w:id="1736080427">
                      <w:marLeft w:val="0"/>
                      <w:marRight w:val="0"/>
                      <w:marTop w:val="0"/>
                      <w:marBottom w:val="0"/>
                      <w:divBdr>
                        <w:top w:val="none" w:sz="0" w:space="0" w:color="auto"/>
                        <w:left w:val="none" w:sz="0" w:space="0" w:color="auto"/>
                        <w:bottom w:val="none" w:sz="0" w:space="0" w:color="auto"/>
                        <w:right w:val="none" w:sz="0" w:space="0" w:color="auto"/>
                      </w:divBdr>
                    </w:div>
                    <w:div w:id="621886989">
                      <w:marLeft w:val="0"/>
                      <w:marRight w:val="0"/>
                      <w:marTop w:val="0"/>
                      <w:marBottom w:val="0"/>
                      <w:divBdr>
                        <w:top w:val="none" w:sz="0" w:space="0" w:color="auto"/>
                        <w:left w:val="none" w:sz="0" w:space="0" w:color="auto"/>
                        <w:bottom w:val="none" w:sz="0" w:space="0" w:color="auto"/>
                        <w:right w:val="none" w:sz="0" w:space="0" w:color="auto"/>
                      </w:divBdr>
                    </w:div>
                    <w:div w:id="623584437">
                      <w:marLeft w:val="0"/>
                      <w:marRight w:val="0"/>
                      <w:marTop w:val="0"/>
                      <w:marBottom w:val="0"/>
                      <w:divBdr>
                        <w:top w:val="none" w:sz="0" w:space="0" w:color="auto"/>
                        <w:left w:val="none" w:sz="0" w:space="0" w:color="auto"/>
                        <w:bottom w:val="none" w:sz="0" w:space="0" w:color="auto"/>
                        <w:right w:val="none" w:sz="0" w:space="0" w:color="auto"/>
                      </w:divBdr>
                    </w:div>
                    <w:div w:id="1080446931">
                      <w:marLeft w:val="0"/>
                      <w:marRight w:val="0"/>
                      <w:marTop w:val="0"/>
                      <w:marBottom w:val="0"/>
                      <w:divBdr>
                        <w:top w:val="none" w:sz="0" w:space="0" w:color="auto"/>
                        <w:left w:val="none" w:sz="0" w:space="0" w:color="auto"/>
                        <w:bottom w:val="none" w:sz="0" w:space="0" w:color="auto"/>
                        <w:right w:val="none" w:sz="0" w:space="0" w:color="auto"/>
                      </w:divBdr>
                    </w:div>
                    <w:div w:id="2140032891">
                      <w:marLeft w:val="0"/>
                      <w:marRight w:val="0"/>
                      <w:marTop w:val="0"/>
                      <w:marBottom w:val="0"/>
                      <w:divBdr>
                        <w:top w:val="none" w:sz="0" w:space="0" w:color="auto"/>
                        <w:left w:val="none" w:sz="0" w:space="0" w:color="auto"/>
                        <w:bottom w:val="none" w:sz="0" w:space="0" w:color="auto"/>
                        <w:right w:val="none" w:sz="0" w:space="0" w:color="auto"/>
                      </w:divBdr>
                    </w:div>
                    <w:div w:id="865872721">
                      <w:marLeft w:val="0"/>
                      <w:marRight w:val="0"/>
                      <w:marTop w:val="0"/>
                      <w:marBottom w:val="0"/>
                      <w:divBdr>
                        <w:top w:val="none" w:sz="0" w:space="0" w:color="auto"/>
                        <w:left w:val="none" w:sz="0" w:space="0" w:color="auto"/>
                        <w:bottom w:val="none" w:sz="0" w:space="0" w:color="auto"/>
                        <w:right w:val="none" w:sz="0" w:space="0" w:color="auto"/>
                      </w:divBdr>
                    </w:div>
                    <w:div w:id="1221750793">
                      <w:marLeft w:val="0"/>
                      <w:marRight w:val="0"/>
                      <w:marTop w:val="0"/>
                      <w:marBottom w:val="0"/>
                      <w:divBdr>
                        <w:top w:val="none" w:sz="0" w:space="0" w:color="auto"/>
                        <w:left w:val="none" w:sz="0" w:space="0" w:color="auto"/>
                        <w:bottom w:val="none" w:sz="0" w:space="0" w:color="auto"/>
                        <w:right w:val="none" w:sz="0" w:space="0" w:color="auto"/>
                      </w:divBdr>
                    </w:div>
                    <w:div w:id="1127578895">
                      <w:marLeft w:val="0"/>
                      <w:marRight w:val="0"/>
                      <w:marTop w:val="0"/>
                      <w:marBottom w:val="0"/>
                      <w:divBdr>
                        <w:top w:val="none" w:sz="0" w:space="0" w:color="auto"/>
                        <w:left w:val="none" w:sz="0" w:space="0" w:color="auto"/>
                        <w:bottom w:val="none" w:sz="0" w:space="0" w:color="auto"/>
                        <w:right w:val="none" w:sz="0" w:space="0" w:color="auto"/>
                      </w:divBdr>
                    </w:div>
                    <w:div w:id="1299383964">
                      <w:marLeft w:val="0"/>
                      <w:marRight w:val="0"/>
                      <w:marTop w:val="0"/>
                      <w:marBottom w:val="0"/>
                      <w:divBdr>
                        <w:top w:val="none" w:sz="0" w:space="0" w:color="auto"/>
                        <w:left w:val="none" w:sz="0" w:space="0" w:color="auto"/>
                        <w:bottom w:val="none" w:sz="0" w:space="0" w:color="auto"/>
                        <w:right w:val="none" w:sz="0" w:space="0" w:color="auto"/>
                      </w:divBdr>
                    </w:div>
                    <w:div w:id="322320154">
                      <w:marLeft w:val="0"/>
                      <w:marRight w:val="0"/>
                      <w:marTop w:val="0"/>
                      <w:marBottom w:val="0"/>
                      <w:divBdr>
                        <w:top w:val="none" w:sz="0" w:space="0" w:color="auto"/>
                        <w:left w:val="none" w:sz="0" w:space="0" w:color="auto"/>
                        <w:bottom w:val="none" w:sz="0" w:space="0" w:color="auto"/>
                        <w:right w:val="none" w:sz="0" w:space="0" w:color="auto"/>
                      </w:divBdr>
                    </w:div>
                    <w:div w:id="133303697">
                      <w:marLeft w:val="0"/>
                      <w:marRight w:val="0"/>
                      <w:marTop w:val="0"/>
                      <w:marBottom w:val="0"/>
                      <w:divBdr>
                        <w:top w:val="none" w:sz="0" w:space="0" w:color="auto"/>
                        <w:left w:val="none" w:sz="0" w:space="0" w:color="auto"/>
                        <w:bottom w:val="none" w:sz="0" w:space="0" w:color="auto"/>
                        <w:right w:val="none" w:sz="0" w:space="0" w:color="auto"/>
                      </w:divBdr>
                    </w:div>
                    <w:div w:id="1840462826">
                      <w:marLeft w:val="0"/>
                      <w:marRight w:val="0"/>
                      <w:marTop w:val="0"/>
                      <w:marBottom w:val="0"/>
                      <w:divBdr>
                        <w:top w:val="none" w:sz="0" w:space="0" w:color="auto"/>
                        <w:left w:val="none" w:sz="0" w:space="0" w:color="auto"/>
                        <w:bottom w:val="none" w:sz="0" w:space="0" w:color="auto"/>
                        <w:right w:val="none" w:sz="0" w:space="0" w:color="auto"/>
                      </w:divBdr>
                    </w:div>
                    <w:div w:id="551229369">
                      <w:marLeft w:val="0"/>
                      <w:marRight w:val="0"/>
                      <w:marTop w:val="0"/>
                      <w:marBottom w:val="0"/>
                      <w:divBdr>
                        <w:top w:val="none" w:sz="0" w:space="0" w:color="auto"/>
                        <w:left w:val="none" w:sz="0" w:space="0" w:color="auto"/>
                        <w:bottom w:val="none" w:sz="0" w:space="0" w:color="auto"/>
                        <w:right w:val="none" w:sz="0" w:space="0" w:color="auto"/>
                      </w:divBdr>
                    </w:div>
                    <w:div w:id="783695786">
                      <w:marLeft w:val="0"/>
                      <w:marRight w:val="0"/>
                      <w:marTop w:val="0"/>
                      <w:marBottom w:val="0"/>
                      <w:divBdr>
                        <w:top w:val="none" w:sz="0" w:space="0" w:color="auto"/>
                        <w:left w:val="none" w:sz="0" w:space="0" w:color="auto"/>
                        <w:bottom w:val="none" w:sz="0" w:space="0" w:color="auto"/>
                        <w:right w:val="none" w:sz="0" w:space="0" w:color="auto"/>
                      </w:divBdr>
                    </w:div>
                    <w:div w:id="139461638">
                      <w:marLeft w:val="0"/>
                      <w:marRight w:val="0"/>
                      <w:marTop w:val="0"/>
                      <w:marBottom w:val="0"/>
                      <w:divBdr>
                        <w:top w:val="none" w:sz="0" w:space="0" w:color="auto"/>
                        <w:left w:val="none" w:sz="0" w:space="0" w:color="auto"/>
                        <w:bottom w:val="none" w:sz="0" w:space="0" w:color="auto"/>
                        <w:right w:val="none" w:sz="0" w:space="0" w:color="auto"/>
                      </w:divBdr>
                    </w:div>
                    <w:div w:id="1874537999">
                      <w:marLeft w:val="0"/>
                      <w:marRight w:val="0"/>
                      <w:marTop w:val="0"/>
                      <w:marBottom w:val="0"/>
                      <w:divBdr>
                        <w:top w:val="none" w:sz="0" w:space="0" w:color="auto"/>
                        <w:left w:val="none" w:sz="0" w:space="0" w:color="auto"/>
                        <w:bottom w:val="none" w:sz="0" w:space="0" w:color="auto"/>
                        <w:right w:val="none" w:sz="0" w:space="0" w:color="auto"/>
                      </w:divBdr>
                    </w:div>
                    <w:div w:id="84695608">
                      <w:marLeft w:val="0"/>
                      <w:marRight w:val="0"/>
                      <w:marTop w:val="0"/>
                      <w:marBottom w:val="0"/>
                      <w:divBdr>
                        <w:top w:val="none" w:sz="0" w:space="0" w:color="auto"/>
                        <w:left w:val="none" w:sz="0" w:space="0" w:color="auto"/>
                        <w:bottom w:val="none" w:sz="0" w:space="0" w:color="auto"/>
                        <w:right w:val="none" w:sz="0" w:space="0" w:color="auto"/>
                      </w:divBdr>
                    </w:div>
                    <w:div w:id="642084869">
                      <w:marLeft w:val="0"/>
                      <w:marRight w:val="0"/>
                      <w:marTop w:val="0"/>
                      <w:marBottom w:val="0"/>
                      <w:divBdr>
                        <w:top w:val="none" w:sz="0" w:space="0" w:color="auto"/>
                        <w:left w:val="none" w:sz="0" w:space="0" w:color="auto"/>
                        <w:bottom w:val="none" w:sz="0" w:space="0" w:color="auto"/>
                        <w:right w:val="none" w:sz="0" w:space="0" w:color="auto"/>
                      </w:divBdr>
                    </w:div>
                    <w:div w:id="724373882">
                      <w:marLeft w:val="0"/>
                      <w:marRight w:val="0"/>
                      <w:marTop w:val="0"/>
                      <w:marBottom w:val="0"/>
                      <w:divBdr>
                        <w:top w:val="none" w:sz="0" w:space="0" w:color="auto"/>
                        <w:left w:val="none" w:sz="0" w:space="0" w:color="auto"/>
                        <w:bottom w:val="none" w:sz="0" w:space="0" w:color="auto"/>
                        <w:right w:val="none" w:sz="0" w:space="0" w:color="auto"/>
                      </w:divBdr>
                    </w:div>
                    <w:div w:id="1957246884">
                      <w:marLeft w:val="0"/>
                      <w:marRight w:val="0"/>
                      <w:marTop w:val="0"/>
                      <w:marBottom w:val="0"/>
                      <w:divBdr>
                        <w:top w:val="none" w:sz="0" w:space="0" w:color="auto"/>
                        <w:left w:val="none" w:sz="0" w:space="0" w:color="auto"/>
                        <w:bottom w:val="none" w:sz="0" w:space="0" w:color="auto"/>
                        <w:right w:val="none" w:sz="0" w:space="0" w:color="auto"/>
                      </w:divBdr>
                    </w:div>
                    <w:div w:id="553737731">
                      <w:marLeft w:val="0"/>
                      <w:marRight w:val="0"/>
                      <w:marTop w:val="0"/>
                      <w:marBottom w:val="0"/>
                      <w:divBdr>
                        <w:top w:val="none" w:sz="0" w:space="0" w:color="auto"/>
                        <w:left w:val="none" w:sz="0" w:space="0" w:color="auto"/>
                        <w:bottom w:val="none" w:sz="0" w:space="0" w:color="auto"/>
                        <w:right w:val="none" w:sz="0" w:space="0" w:color="auto"/>
                      </w:divBdr>
                    </w:div>
                    <w:div w:id="11571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283285">
      <w:bodyDiv w:val="1"/>
      <w:marLeft w:val="0"/>
      <w:marRight w:val="0"/>
      <w:marTop w:val="0"/>
      <w:marBottom w:val="0"/>
      <w:divBdr>
        <w:top w:val="none" w:sz="0" w:space="0" w:color="auto"/>
        <w:left w:val="none" w:sz="0" w:space="0" w:color="auto"/>
        <w:bottom w:val="none" w:sz="0" w:space="0" w:color="auto"/>
        <w:right w:val="none" w:sz="0" w:space="0" w:color="auto"/>
      </w:divBdr>
    </w:div>
    <w:div w:id="211151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dx.doi.org/10.1016/j.clon.2016.05.00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3700D-87C7-4BA3-954B-1E6F17303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1899</Words>
  <Characters>10825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Kyle DeRouen</dc:creator>
  <cp:lastModifiedBy>Chris Becker</cp:lastModifiedBy>
  <cp:revision>2</cp:revision>
  <cp:lastPrinted>2017-01-30T17:32:00Z</cp:lastPrinted>
  <dcterms:created xsi:type="dcterms:W3CDTF">2017-04-03T20:09:00Z</dcterms:created>
  <dcterms:modified xsi:type="dcterms:W3CDTF">2017-04-03T20:09:00Z</dcterms:modified>
</cp:coreProperties>
</file>